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6D" w:rsidRDefault="00827787">
      <w:pPr>
        <w:pStyle w:val="Heading1"/>
        <w:ind w:left="0" w:firstLine="0"/>
        <w:rPr>
          <w:rFonts w:ascii="Times New Roman" w:hAnsi="Times New Roman" w:cs="Times New Roman"/>
          <w:sz w:val="20"/>
          <w:szCs w:val="20"/>
        </w:rPr>
      </w:pPr>
      <w:bookmarkStart w:id="0" w:name="_GoBack"/>
      <w:bookmarkEnd w:id="0"/>
      <w:r>
        <w:rPr>
          <w:rFonts w:ascii="Times New Roman" w:hAnsi="Times New Roman" w:cs="Times New Roman"/>
          <w:sz w:val="20"/>
          <w:szCs w:val="20"/>
        </w:rPr>
        <w:t>THANGAMAYIL JEWELLERY LIMITED:</w:t>
      </w:r>
    </w:p>
    <w:p w:rsidR="00827787" w:rsidRPr="00827787" w:rsidRDefault="00827787" w:rsidP="00827787"/>
    <w:p w:rsidR="000A336D" w:rsidRDefault="001B4C5D">
      <w:pPr>
        <w:pStyle w:val="Heading1"/>
        <w:numPr>
          <w:ilvl w:val="0"/>
          <w:numId w:val="1"/>
        </w:numPr>
        <w:ind w:left="567" w:hanging="567"/>
        <w:rPr>
          <w:rFonts w:ascii="Times New Roman" w:hAnsi="Times New Roman" w:cs="Times New Roman"/>
          <w:sz w:val="20"/>
          <w:szCs w:val="20"/>
        </w:rPr>
      </w:pPr>
      <w:r>
        <w:rPr>
          <w:rFonts w:ascii="Times New Roman" w:hAnsi="Times New Roman" w:cs="Times New Roman"/>
          <w:sz w:val="20"/>
          <w:szCs w:val="20"/>
        </w:rPr>
        <w:t>Introduction:</w:t>
      </w:r>
    </w:p>
    <w:p w:rsidR="000A336D" w:rsidRDefault="000A336D">
      <w:pPr>
        <w:pStyle w:val="BodyText"/>
        <w:spacing w:before="11"/>
        <w:rPr>
          <w:rFonts w:ascii="Times New Roman" w:hAnsi="Times New Roman" w:cs="Times New Roman"/>
          <w:b/>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In terms of Regulation 30(8) of the Securities and Exchange Board of India (Listing Obligations and Disclosure Requirements) Regulations, 2015 (the “</w:t>
      </w:r>
      <w:r>
        <w:rPr>
          <w:rFonts w:ascii="Times New Roman" w:hAnsi="Times New Roman" w:cs="Times New Roman"/>
          <w:b/>
          <w:sz w:val="20"/>
          <w:szCs w:val="20"/>
        </w:rPr>
        <w:t>SEBI Listing Regulations</w:t>
      </w:r>
      <w:r>
        <w:rPr>
          <w:rFonts w:ascii="Times New Roman" w:hAnsi="Times New Roman" w:cs="Times New Roman"/>
          <w:sz w:val="20"/>
          <w:szCs w:val="20"/>
        </w:rPr>
        <w:t xml:space="preserve">”), requires every listed company is required to disclose on its </w:t>
      </w:r>
      <w:r>
        <w:rPr>
          <w:rFonts w:ascii="Times New Roman" w:hAnsi="Times New Roman" w:cs="Times New Roman"/>
          <w:sz w:val="20"/>
          <w:szCs w:val="20"/>
        </w:rPr>
        <w:t>website all such events or information which has been disclosed to stock exchanges where the securities of the Company are listed (the “</w:t>
      </w:r>
      <w:r>
        <w:rPr>
          <w:rFonts w:ascii="Times New Roman" w:hAnsi="Times New Roman" w:cs="Times New Roman"/>
          <w:b/>
          <w:sz w:val="20"/>
          <w:szCs w:val="20"/>
        </w:rPr>
        <w:t>Stock Exchanges</w:t>
      </w:r>
      <w:r>
        <w:rPr>
          <w:rFonts w:ascii="Times New Roman" w:hAnsi="Times New Roman" w:cs="Times New Roman"/>
          <w:sz w:val="20"/>
          <w:szCs w:val="20"/>
        </w:rPr>
        <w:t xml:space="preserve">”) under Regulation 30 of the SEBI Listing Regulations. Further, such disclosures shall be hosted on the </w:t>
      </w:r>
      <w:r>
        <w:rPr>
          <w:rFonts w:ascii="Times New Roman" w:hAnsi="Times New Roman" w:cs="Times New Roman"/>
          <w:sz w:val="20"/>
          <w:szCs w:val="20"/>
        </w:rPr>
        <w:t xml:space="preserve">website of the Company for a minimum period of 5 years and thereafter as per  the  archival  policy  of  the  Company,  as  disclosed  on  its  website. </w:t>
      </w:r>
    </w:p>
    <w:p w:rsidR="000A336D" w:rsidRDefault="000A336D">
      <w:pPr>
        <w:pStyle w:val="BodyText"/>
        <w:spacing w:before="2"/>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Accordingly the Board of Directors (the “</w:t>
      </w:r>
      <w:r>
        <w:rPr>
          <w:rFonts w:ascii="Times New Roman" w:hAnsi="Times New Roman" w:cs="Times New Roman"/>
          <w:b/>
          <w:sz w:val="20"/>
          <w:szCs w:val="20"/>
        </w:rPr>
        <w:t>Board</w:t>
      </w:r>
      <w:r>
        <w:rPr>
          <w:rFonts w:ascii="Times New Roman" w:hAnsi="Times New Roman" w:cs="Times New Roman"/>
          <w:sz w:val="20"/>
          <w:szCs w:val="20"/>
        </w:rPr>
        <w:t xml:space="preserve">”) of </w:t>
      </w:r>
      <w:proofErr w:type="spellStart"/>
      <w:r>
        <w:rPr>
          <w:rFonts w:ascii="Times New Roman" w:hAnsi="Times New Roman" w:cs="Times New Roman"/>
          <w:sz w:val="20"/>
          <w:szCs w:val="20"/>
        </w:rPr>
        <w:t>Thangamayil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Jewellery</w:t>
      </w:r>
      <w:proofErr w:type="spellEnd"/>
      <w:r>
        <w:rPr>
          <w:rFonts w:ascii="Times New Roman" w:hAnsi="Times New Roman" w:cs="Times New Roman"/>
          <w:sz w:val="20"/>
          <w:szCs w:val="20"/>
        </w:rPr>
        <w:t xml:space="preserve"> Limited (the “</w:t>
      </w:r>
      <w:r>
        <w:rPr>
          <w:rFonts w:ascii="Times New Roman" w:hAnsi="Times New Roman" w:cs="Times New Roman"/>
          <w:b/>
          <w:sz w:val="20"/>
          <w:szCs w:val="20"/>
        </w:rPr>
        <w:t>Company</w:t>
      </w:r>
      <w:r>
        <w:rPr>
          <w:rFonts w:ascii="Times New Roman" w:hAnsi="Times New Roman" w:cs="Times New Roman"/>
          <w:sz w:val="20"/>
          <w:szCs w:val="20"/>
        </w:rPr>
        <w:t>”) has</w:t>
      </w:r>
      <w:r>
        <w:rPr>
          <w:rFonts w:ascii="Times New Roman" w:hAnsi="Times New Roman" w:cs="Times New Roman"/>
          <w:sz w:val="20"/>
          <w:szCs w:val="20"/>
        </w:rPr>
        <w:t xml:space="preserve"> adopted the following policy </w:t>
      </w:r>
    </w:p>
    <w:p w:rsidR="000A336D" w:rsidRDefault="000A336D">
      <w:pPr>
        <w:pStyle w:val="BodyText"/>
        <w:spacing w:before="2"/>
        <w:rPr>
          <w:rFonts w:ascii="Times New Roman" w:hAnsi="Times New Roman" w:cs="Times New Roman"/>
          <w:sz w:val="20"/>
          <w:szCs w:val="20"/>
        </w:rPr>
      </w:pPr>
    </w:p>
    <w:p w:rsidR="000A336D" w:rsidRDefault="001B4C5D">
      <w:pPr>
        <w:pStyle w:val="Heading1"/>
        <w:numPr>
          <w:ilvl w:val="0"/>
          <w:numId w:val="1"/>
        </w:numPr>
        <w:ind w:left="567" w:hanging="567"/>
        <w:rPr>
          <w:rFonts w:ascii="Times New Roman" w:hAnsi="Times New Roman" w:cs="Times New Roman"/>
          <w:sz w:val="20"/>
          <w:szCs w:val="20"/>
        </w:rPr>
      </w:pPr>
      <w:r>
        <w:rPr>
          <w:rFonts w:ascii="Times New Roman" w:hAnsi="Times New Roman" w:cs="Times New Roman"/>
          <w:sz w:val="20"/>
          <w:szCs w:val="20"/>
        </w:rPr>
        <w:t>Purpose &amp;</w:t>
      </w:r>
      <w:r>
        <w:rPr>
          <w:rFonts w:ascii="Times New Roman" w:hAnsi="Times New Roman" w:cs="Times New Roman"/>
          <w:spacing w:val="-5"/>
          <w:sz w:val="20"/>
          <w:szCs w:val="20"/>
        </w:rPr>
        <w:t xml:space="preserve"> </w:t>
      </w:r>
      <w:r>
        <w:rPr>
          <w:rFonts w:ascii="Times New Roman" w:hAnsi="Times New Roman" w:cs="Times New Roman"/>
          <w:sz w:val="20"/>
          <w:szCs w:val="20"/>
        </w:rPr>
        <w:t>Scope:</w:t>
      </w:r>
    </w:p>
    <w:p w:rsidR="000A336D" w:rsidRDefault="000A336D">
      <w:pPr>
        <w:pStyle w:val="BodyText"/>
        <w:ind w:right="122"/>
        <w:jc w:val="both"/>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The purpose of this Policy is to determine the period of record keeping and preservation of the physical as well as electronic records of the Company. Pursuant to the Regulation 30 of the SEBI Listing Regul</w:t>
      </w:r>
      <w:r>
        <w:rPr>
          <w:rFonts w:ascii="Times New Roman" w:hAnsi="Times New Roman" w:cs="Times New Roman"/>
          <w:sz w:val="20"/>
          <w:szCs w:val="20"/>
        </w:rPr>
        <w:t>ations, the Company shall disclose on its website all such events or information which has been disclosed to Stock exchanges, and such disclosures shall be hosted and retained on the website of the Company for a minimum period of 5 (five) years and thereaf</w:t>
      </w:r>
      <w:r>
        <w:rPr>
          <w:rFonts w:ascii="Times New Roman" w:hAnsi="Times New Roman" w:cs="Times New Roman"/>
          <w:sz w:val="20"/>
          <w:szCs w:val="20"/>
        </w:rPr>
        <w:t>ter, as per this Policy. This Policy defines the time period for which material events likely to affect the working of the Company be disclosed on the Company’s website after the lapse of the aforementioned minimum period of five years.</w:t>
      </w:r>
    </w:p>
    <w:p w:rsidR="000A336D" w:rsidRDefault="000A336D">
      <w:pPr>
        <w:pStyle w:val="BodyText"/>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The policy will be</w:t>
      </w:r>
      <w:r>
        <w:rPr>
          <w:rFonts w:ascii="Times New Roman" w:hAnsi="Times New Roman" w:cs="Times New Roman"/>
          <w:sz w:val="20"/>
          <w:szCs w:val="20"/>
        </w:rPr>
        <w:t xml:space="preserve"> applicable to the Company.</w:t>
      </w:r>
    </w:p>
    <w:p w:rsidR="000A336D" w:rsidRDefault="000A336D">
      <w:pPr>
        <w:pStyle w:val="BodyText"/>
        <w:spacing w:before="9"/>
        <w:rPr>
          <w:rFonts w:ascii="Times New Roman" w:hAnsi="Times New Roman" w:cs="Times New Roman"/>
          <w:sz w:val="20"/>
          <w:szCs w:val="20"/>
        </w:rPr>
      </w:pPr>
    </w:p>
    <w:p w:rsidR="000A336D" w:rsidRDefault="001B4C5D">
      <w:pPr>
        <w:pStyle w:val="Heading1"/>
        <w:numPr>
          <w:ilvl w:val="0"/>
          <w:numId w:val="1"/>
        </w:numPr>
        <w:ind w:left="567" w:hanging="567"/>
        <w:rPr>
          <w:rFonts w:ascii="Times New Roman" w:hAnsi="Times New Roman" w:cs="Times New Roman"/>
          <w:sz w:val="20"/>
          <w:szCs w:val="20"/>
        </w:rPr>
      </w:pPr>
      <w:r>
        <w:rPr>
          <w:rFonts w:ascii="Times New Roman" w:hAnsi="Times New Roman" w:cs="Times New Roman"/>
          <w:sz w:val="20"/>
          <w:szCs w:val="20"/>
        </w:rPr>
        <w:t>Definitions:</w:t>
      </w:r>
    </w:p>
    <w:p w:rsidR="000A336D" w:rsidRDefault="000A336D">
      <w:pPr>
        <w:pStyle w:val="BodyText"/>
        <w:ind w:left="567" w:right="122"/>
        <w:jc w:val="both"/>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b/>
          <w:i/>
          <w:sz w:val="20"/>
          <w:szCs w:val="20"/>
        </w:rPr>
        <w:t xml:space="preserve"> “Policy” </w:t>
      </w:r>
      <w:r>
        <w:rPr>
          <w:rFonts w:ascii="Times New Roman" w:hAnsi="Times New Roman" w:cs="Times New Roman"/>
          <w:sz w:val="20"/>
          <w:szCs w:val="20"/>
        </w:rPr>
        <w:t>means this Archival Policy.</w:t>
      </w:r>
    </w:p>
    <w:p w:rsidR="000A336D" w:rsidRDefault="000A336D">
      <w:pPr>
        <w:pStyle w:val="BodyText"/>
        <w:spacing w:before="11"/>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b/>
          <w:i/>
          <w:sz w:val="20"/>
          <w:szCs w:val="20"/>
        </w:rPr>
        <w:t xml:space="preserve">“Material Events” </w:t>
      </w:r>
      <w:r>
        <w:rPr>
          <w:rFonts w:ascii="Times New Roman" w:hAnsi="Times New Roman" w:cs="Times New Roman"/>
          <w:sz w:val="20"/>
          <w:szCs w:val="20"/>
        </w:rPr>
        <w:t>means events as specified in Schedule III to the Listing Regulations and upon the occurrence of which a listed entity shall make disclosures to stock exchan</w:t>
      </w:r>
      <w:r>
        <w:rPr>
          <w:rFonts w:ascii="Times New Roman" w:hAnsi="Times New Roman" w:cs="Times New Roman"/>
          <w:sz w:val="20"/>
          <w:szCs w:val="20"/>
        </w:rPr>
        <w:t>ge(s) and host such disclosures on the listed entity’s website.</w:t>
      </w:r>
    </w:p>
    <w:p w:rsidR="000A336D" w:rsidRDefault="000A336D">
      <w:pPr>
        <w:pStyle w:val="BodyText"/>
        <w:ind w:left="567" w:right="122"/>
        <w:jc w:val="both"/>
        <w:rPr>
          <w:rFonts w:ascii="Times New Roman" w:hAnsi="Times New Roman" w:cs="Times New Roman"/>
          <w:sz w:val="20"/>
          <w:szCs w:val="20"/>
        </w:rPr>
      </w:pPr>
    </w:p>
    <w:p w:rsidR="000A336D" w:rsidRDefault="001B4C5D">
      <w:pPr>
        <w:pStyle w:val="BodyText"/>
        <w:numPr>
          <w:ilvl w:val="0"/>
          <w:numId w:val="1"/>
        </w:numPr>
        <w:ind w:right="122"/>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Policy: </w:t>
      </w:r>
    </w:p>
    <w:p w:rsidR="000A336D" w:rsidRDefault="000A336D">
      <w:pPr>
        <w:pStyle w:val="BodyText"/>
        <w:spacing w:before="2"/>
        <w:rPr>
          <w:rFonts w:ascii="Times New Roman" w:hAnsi="Times New Roman" w:cs="Times New Roman"/>
          <w:b/>
          <w:i/>
          <w:iCs/>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 xml:space="preserve">As mentioned above, disclosure of material events shall be hosted and retained on the Company’s website i.e. for a minimum period of 5 (five) years. Depending upon the nature, </w:t>
      </w:r>
      <w:r>
        <w:rPr>
          <w:rFonts w:ascii="Times New Roman" w:hAnsi="Times New Roman" w:cs="Times New Roman"/>
          <w:sz w:val="20"/>
          <w:szCs w:val="20"/>
        </w:rPr>
        <w:t>materiality, impact and relevance of the material event, the disclosure of such material event can continue to remain hosted on the Company’s website for a longer period of time as decided by the Board from time to</w:t>
      </w:r>
      <w:r>
        <w:rPr>
          <w:rFonts w:ascii="Times New Roman" w:hAnsi="Times New Roman" w:cs="Times New Roman"/>
          <w:spacing w:val="-11"/>
          <w:sz w:val="20"/>
          <w:szCs w:val="20"/>
        </w:rPr>
        <w:t xml:space="preserve"> </w:t>
      </w:r>
      <w:r>
        <w:rPr>
          <w:rFonts w:ascii="Times New Roman" w:hAnsi="Times New Roman" w:cs="Times New Roman"/>
          <w:sz w:val="20"/>
          <w:szCs w:val="20"/>
        </w:rPr>
        <w:t>time.</w:t>
      </w:r>
    </w:p>
    <w:p w:rsidR="000A336D" w:rsidRDefault="000A336D">
      <w:pPr>
        <w:pStyle w:val="BodyText"/>
        <w:ind w:left="460" w:right="116"/>
        <w:jc w:val="both"/>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Disclosed information after more t</w:t>
      </w:r>
      <w:r>
        <w:rPr>
          <w:rFonts w:ascii="Times New Roman" w:hAnsi="Times New Roman" w:cs="Times New Roman"/>
          <w:sz w:val="20"/>
          <w:szCs w:val="20"/>
        </w:rPr>
        <w:t xml:space="preserve">han five years, shall be kept in the archives of the Company for a period of 3 years. Anyone intending to review those disclosed information may write to Compliance Officer of the Company. </w:t>
      </w:r>
    </w:p>
    <w:p w:rsidR="000A336D" w:rsidRDefault="000A336D">
      <w:pPr>
        <w:pStyle w:val="BodyText"/>
        <w:ind w:left="460" w:right="116"/>
        <w:jc w:val="both"/>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 xml:space="preserve">In case the aforesaid disclosures are required by any applicable </w:t>
      </w:r>
      <w:r>
        <w:rPr>
          <w:rFonts w:ascii="Times New Roman" w:hAnsi="Times New Roman" w:cs="Times New Roman"/>
          <w:sz w:val="20"/>
          <w:szCs w:val="20"/>
        </w:rPr>
        <w:t>law or regulation to be hosted for a period longer than that mentioned above, such disclosures shall be hosted on the website of the Company for such longer period.</w:t>
      </w:r>
    </w:p>
    <w:p w:rsidR="000A336D" w:rsidRDefault="000A336D">
      <w:pPr>
        <w:pStyle w:val="BodyText"/>
        <w:ind w:left="460" w:right="116"/>
        <w:jc w:val="both"/>
        <w:rPr>
          <w:rFonts w:ascii="Times New Roman" w:hAnsi="Times New Roman" w:cs="Times New Roman"/>
          <w:sz w:val="20"/>
          <w:szCs w:val="20"/>
        </w:rPr>
      </w:pPr>
    </w:p>
    <w:p w:rsidR="000A336D" w:rsidRDefault="001B4C5D">
      <w:pPr>
        <w:pStyle w:val="Heading1"/>
        <w:numPr>
          <w:ilvl w:val="0"/>
          <w:numId w:val="1"/>
        </w:numPr>
        <w:ind w:left="567" w:hanging="567"/>
        <w:rPr>
          <w:rFonts w:ascii="Times New Roman" w:hAnsi="Times New Roman" w:cs="Times New Roman"/>
          <w:sz w:val="20"/>
          <w:szCs w:val="20"/>
        </w:rPr>
      </w:pPr>
      <w:r>
        <w:rPr>
          <w:rFonts w:ascii="Times New Roman" w:hAnsi="Times New Roman" w:cs="Times New Roman"/>
          <w:sz w:val="20"/>
          <w:szCs w:val="20"/>
        </w:rPr>
        <w:t xml:space="preserve"> Amendment:</w:t>
      </w:r>
    </w:p>
    <w:p w:rsidR="000A336D" w:rsidRDefault="000A336D">
      <w:pPr>
        <w:pStyle w:val="Heading1"/>
        <w:tabs>
          <w:tab w:val="left" w:pos="461"/>
        </w:tabs>
        <w:spacing w:before="1"/>
        <w:ind w:firstLine="0"/>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b/>
          <w:sz w:val="20"/>
          <w:szCs w:val="20"/>
        </w:rPr>
      </w:pPr>
      <w:r>
        <w:rPr>
          <w:rFonts w:ascii="Times New Roman" w:hAnsi="Times New Roman" w:cs="Times New Roman"/>
          <w:sz w:val="20"/>
          <w:szCs w:val="20"/>
        </w:rPr>
        <w:t>Any change in the Policy shall be approved by the Board of Directors of the C</w:t>
      </w:r>
      <w:r>
        <w:rPr>
          <w:rFonts w:ascii="Times New Roman" w:hAnsi="Times New Roman" w:cs="Times New Roman"/>
          <w:sz w:val="20"/>
          <w:szCs w:val="20"/>
        </w:rPr>
        <w:t xml:space="preserve">ompany. The Board of Directors shall have the right to withdraw and / or amend any part of this Policy or the entire Policy, at any time, as it deems fit, or from time to time, and the decision of the Board in this respect shall be final and binding. </w:t>
      </w:r>
    </w:p>
    <w:p w:rsidR="000A336D" w:rsidRDefault="000A336D">
      <w:pPr>
        <w:pStyle w:val="Heading1"/>
        <w:tabs>
          <w:tab w:val="left" w:pos="461"/>
        </w:tabs>
        <w:spacing w:before="1"/>
        <w:rPr>
          <w:rFonts w:ascii="Times New Roman" w:hAnsi="Times New Roman" w:cs="Times New Roman"/>
          <w:b w:val="0"/>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 xml:space="preserve">In </w:t>
      </w:r>
      <w:r>
        <w:rPr>
          <w:rFonts w:ascii="Times New Roman" w:hAnsi="Times New Roman" w:cs="Times New Roman"/>
          <w:sz w:val="20"/>
          <w:szCs w:val="20"/>
        </w:rPr>
        <w:t xml:space="preserve">case any provisions of the Policy are contrary to or inconsistent with the provisions of the Companies Act, 2013, rules framed </w:t>
      </w:r>
      <w:proofErr w:type="spellStart"/>
      <w:r>
        <w:rPr>
          <w:rFonts w:ascii="Times New Roman" w:hAnsi="Times New Roman" w:cs="Times New Roman"/>
          <w:sz w:val="20"/>
          <w:szCs w:val="20"/>
        </w:rPr>
        <w:t>thereunder</w:t>
      </w:r>
      <w:proofErr w:type="spellEnd"/>
      <w:r>
        <w:rPr>
          <w:rFonts w:ascii="Times New Roman" w:hAnsi="Times New Roman" w:cs="Times New Roman"/>
          <w:sz w:val="20"/>
          <w:szCs w:val="20"/>
        </w:rPr>
        <w:t xml:space="preserve"> and Listing Regulations (“Statutory Provisions”), the provisions of Statutory Provisions shall prevail.</w:t>
      </w:r>
    </w:p>
    <w:p w:rsidR="000A336D" w:rsidRDefault="000A336D">
      <w:pPr>
        <w:pStyle w:val="BodyText"/>
        <w:ind w:left="567" w:right="122"/>
        <w:jc w:val="both"/>
        <w:rPr>
          <w:rFonts w:ascii="Times New Roman" w:hAnsi="Times New Roman" w:cs="Times New Roman"/>
          <w:sz w:val="20"/>
          <w:szCs w:val="20"/>
        </w:rPr>
      </w:pPr>
    </w:p>
    <w:p w:rsidR="000A336D" w:rsidRDefault="000A336D">
      <w:pPr>
        <w:pStyle w:val="BodyText"/>
        <w:ind w:left="567" w:right="122"/>
        <w:jc w:val="both"/>
        <w:rPr>
          <w:rFonts w:ascii="Times New Roman" w:hAnsi="Times New Roman" w:cs="Times New Roman"/>
          <w:sz w:val="20"/>
          <w:szCs w:val="20"/>
        </w:rPr>
      </w:pPr>
    </w:p>
    <w:p w:rsidR="000A336D" w:rsidRDefault="000A336D">
      <w:pPr>
        <w:pStyle w:val="BodyText"/>
        <w:ind w:left="567" w:right="122"/>
        <w:jc w:val="both"/>
        <w:rPr>
          <w:rFonts w:ascii="Times New Roman" w:hAnsi="Times New Roman" w:cs="Times New Roman"/>
          <w:sz w:val="20"/>
          <w:szCs w:val="20"/>
        </w:rPr>
      </w:pPr>
    </w:p>
    <w:p w:rsidR="000A336D" w:rsidRDefault="000A336D">
      <w:pPr>
        <w:pStyle w:val="BodyText"/>
        <w:spacing w:before="1"/>
        <w:rPr>
          <w:rFonts w:ascii="Times New Roman" w:hAnsi="Times New Roman" w:cs="Times New Roman"/>
          <w:sz w:val="20"/>
          <w:szCs w:val="20"/>
        </w:rPr>
      </w:pPr>
    </w:p>
    <w:p w:rsidR="000A336D" w:rsidRDefault="001B4C5D">
      <w:pPr>
        <w:pStyle w:val="Heading1"/>
        <w:numPr>
          <w:ilvl w:val="0"/>
          <w:numId w:val="1"/>
        </w:numPr>
        <w:ind w:left="567" w:hanging="567"/>
        <w:rPr>
          <w:rFonts w:ascii="Times New Roman" w:hAnsi="Times New Roman" w:cs="Times New Roman"/>
          <w:sz w:val="20"/>
          <w:szCs w:val="20"/>
        </w:rPr>
      </w:pPr>
      <w:r>
        <w:rPr>
          <w:rFonts w:ascii="Times New Roman" w:hAnsi="Times New Roman" w:cs="Times New Roman"/>
          <w:sz w:val="20"/>
          <w:szCs w:val="20"/>
        </w:rPr>
        <w:t>Officer</w:t>
      </w:r>
      <w:r>
        <w:rPr>
          <w:rFonts w:ascii="Times New Roman" w:hAnsi="Times New Roman" w:cs="Times New Roman"/>
          <w:spacing w:val="-5"/>
          <w:sz w:val="20"/>
          <w:szCs w:val="20"/>
        </w:rPr>
        <w:t xml:space="preserve"> </w:t>
      </w:r>
      <w:r>
        <w:rPr>
          <w:rFonts w:ascii="Times New Roman" w:hAnsi="Times New Roman" w:cs="Times New Roman"/>
          <w:sz w:val="20"/>
          <w:szCs w:val="20"/>
        </w:rPr>
        <w:t>re</w:t>
      </w:r>
      <w:r>
        <w:rPr>
          <w:rFonts w:ascii="Times New Roman" w:hAnsi="Times New Roman" w:cs="Times New Roman"/>
          <w:sz w:val="20"/>
          <w:szCs w:val="20"/>
        </w:rPr>
        <w:t>sponsible:</w:t>
      </w:r>
    </w:p>
    <w:p w:rsidR="000A336D" w:rsidRDefault="000A336D">
      <w:pPr>
        <w:pStyle w:val="BodyText"/>
        <w:spacing w:before="2"/>
        <w:rPr>
          <w:rFonts w:ascii="Times New Roman" w:hAnsi="Times New Roman" w:cs="Times New Roman"/>
          <w:b/>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The Company Secretary and any other person authorized by the board of the Company shall be responsible for ensuring overall compliance of this Policy.</w:t>
      </w:r>
    </w:p>
    <w:p w:rsidR="000A336D" w:rsidRDefault="000A336D">
      <w:pPr>
        <w:pStyle w:val="Heading1"/>
        <w:tabs>
          <w:tab w:val="left" w:pos="461"/>
        </w:tabs>
        <w:spacing w:before="1"/>
        <w:ind w:firstLine="0"/>
        <w:rPr>
          <w:rFonts w:ascii="Times New Roman" w:hAnsi="Times New Roman" w:cs="Times New Roman"/>
          <w:b w:val="0"/>
          <w:sz w:val="20"/>
          <w:szCs w:val="20"/>
        </w:rPr>
      </w:pPr>
    </w:p>
    <w:p w:rsidR="000A336D" w:rsidRDefault="001B4C5D">
      <w:pPr>
        <w:pStyle w:val="Heading1"/>
        <w:numPr>
          <w:ilvl w:val="0"/>
          <w:numId w:val="1"/>
        </w:numPr>
        <w:ind w:left="567" w:hanging="567"/>
        <w:rPr>
          <w:rFonts w:ascii="Times New Roman" w:hAnsi="Times New Roman" w:cs="Times New Roman"/>
          <w:b w:val="0"/>
          <w:sz w:val="20"/>
          <w:szCs w:val="20"/>
        </w:rPr>
      </w:pPr>
      <w:r>
        <w:rPr>
          <w:rFonts w:ascii="Times New Roman" w:hAnsi="Times New Roman" w:cs="Times New Roman"/>
          <w:sz w:val="20"/>
          <w:szCs w:val="20"/>
        </w:rPr>
        <w:t>Disclosure</w:t>
      </w:r>
      <w:r>
        <w:rPr>
          <w:rFonts w:ascii="Times New Roman" w:hAnsi="Times New Roman" w:cs="Times New Roman"/>
          <w:b w:val="0"/>
          <w:sz w:val="20"/>
          <w:szCs w:val="20"/>
        </w:rPr>
        <w:t>:</w:t>
      </w:r>
    </w:p>
    <w:p w:rsidR="000A336D" w:rsidRDefault="000A336D">
      <w:pPr>
        <w:pStyle w:val="BodyText"/>
        <w:rPr>
          <w:rFonts w:ascii="Times New Roman" w:hAnsi="Times New Roman" w:cs="Times New Roman"/>
          <w:sz w:val="20"/>
          <w:szCs w:val="20"/>
        </w:rPr>
      </w:pPr>
    </w:p>
    <w:p w:rsidR="000A336D" w:rsidRDefault="001B4C5D">
      <w:pPr>
        <w:pStyle w:val="BodyText"/>
        <w:ind w:left="567" w:right="122"/>
        <w:jc w:val="both"/>
        <w:rPr>
          <w:rFonts w:ascii="Times New Roman" w:hAnsi="Times New Roman" w:cs="Times New Roman"/>
          <w:sz w:val="20"/>
          <w:szCs w:val="20"/>
        </w:rPr>
      </w:pPr>
      <w:r>
        <w:rPr>
          <w:rFonts w:ascii="Times New Roman" w:hAnsi="Times New Roman" w:cs="Times New Roman"/>
          <w:sz w:val="20"/>
          <w:szCs w:val="20"/>
        </w:rPr>
        <w:t>This Policy will be disclosed on the Company’s website</w:t>
      </w:r>
      <w:r>
        <w:rPr>
          <w:rFonts w:ascii="Times New Roman" w:hAnsi="Times New Roman" w:cs="Times New Roman"/>
          <w:sz w:val="20"/>
          <w:szCs w:val="20"/>
        </w:rPr>
        <w:t xml:space="preserve"> </w:t>
      </w:r>
      <w:r>
        <w:rPr>
          <w:rFonts w:ascii="Times New Roman" w:hAnsi="Times New Roman"/>
          <w:sz w:val="20"/>
          <w:szCs w:val="20"/>
          <w:u w:val="single"/>
        </w:rPr>
        <w:t>www.thangamayil.com</w:t>
      </w:r>
    </w:p>
    <w:p w:rsidR="000A336D" w:rsidRDefault="000A336D">
      <w:pPr>
        <w:pStyle w:val="BodyText"/>
        <w:ind w:left="567" w:right="122"/>
        <w:jc w:val="both"/>
        <w:rPr>
          <w:rFonts w:ascii="Times New Roman" w:hAnsi="Times New Roman" w:cs="Times New Roman"/>
          <w:sz w:val="20"/>
          <w:szCs w:val="20"/>
        </w:rPr>
      </w:pPr>
    </w:p>
    <w:p w:rsidR="000A336D" w:rsidRDefault="000A336D">
      <w:pPr>
        <w:pStyle w:val="BodyText"/>
        <w:rPr>
          <w:rFonts w:ascii="Times New Roman" w:hAnsi="Times New Roman" w:cs="Times New Roman"/>
          <w:sz w:val="20"/>
          <w:szCs w:val="20"/>
        </w:rPr>
      </w:pPr>
    </w:p>
    <w:p w:rsidR="000A336D" w:rsidRDefault="000A336D">
      <w:pPr>
        <w:pStyle w:val="BodyText"/>
        <w:spacing w:before="7"/>
        <w:rPr>
          <w:rFonts w:ascii="Times New Roman" w:hAnsi="Times New Roman" w:cs="Times New Roman"/>
          <w:sz w:val="20"/>
          <w:szCs w:val="20"/>
        </w:rPr>
      </w:pPr>
    </w:p>
    <w:sectPr w:rsidR="000A336D" w:rsidSect="000A336D">
      <w:footerReference w:type="default" r:id="rId7"/>
      <w:pgSz w:w="11910" w:h="16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C5D" w:rsidRDefault="001B4C5D" w:rsidP="000A336D">
      <w:r>
        <w:separator/>
      </w:r>
    </w:p>
  </w:endnote>
  <w:endnote w:type="continuationSeparator" w:id="0">
    <w:p w:rsidR="001B4C5D" w:rsidRDefault="001B4C5D" w:rsidP="000A3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824537"/>
      <w:docPartObj>
        <w:docPartGallery w:val="AutoText"/>
      </w:docPartObj>
    </w:sdtPr>
    <w:sdtContent>
      <w:sdt>
        <w:sdtPr>
          <w:id w:val="1728636285"/>
          <w:docPartObj>
            <w:docPartGallery w:val="AutoText"/>
          </w:docPartObj>
        </w:sdtPr>
        <w:sdtContent>
          <w:p w:rsidR="000A336D" w:rsidRDefault="001B4C5D">
            <w:pPr>
              <w:pStyle w:val="Footer"/>
              <w:jc w:val="center"/>
            </w:pPr>
            <w:r>
              <w:t xml:space="preserve">Page </w:t>
            </w:r>
            <w:r w:rsidR="000A336D">
              <w:rPr>
                <w:b/>
                <w:bCs/>
                <w:sz w:val="24"/>
                <w:szCs w:val="24"/>
              </w:rPr>
              <w:fldChar w:fldCharType="begin"/>
            </w:r>
            <w:r>
              <w:rPr>
                <w:b/>
                <w:bCs/>
              </w:rPr>
              <w:instrText xml:space="preserve"> PAGE </w:instrText>
            </w:r>
            <w:r w:rsidR="000A336D">
              <w:rPr>
                <w:b/>
                <w:bCs/>
                <w:sz w:val="24"/>
                <w:szCs w:val="24"/>
              </w:rPr>
              <w:fldChar w:fldCharType="separate"/>
            </w:r>
            <w:r w:rsidR="00827787">
              <w:rPr>
                <w:b/>
                <w:bCs/>
                <w:noProof/>
              </w:rPr>
              <w:t>1</w:t>
            </w:r>
            <w:r w:rsidR="000A336D">
              <w:rPr>
                <w:b/>
                <w:bCs/>
                <w:sz w:val="24"/>
                <w:szCs w:val="24"/>
              </w:rPr>
              <w:fldChar w:fldCharType="end"/>
            </w:r>
            <w:r>
              <w:t xml:space="preserve"> of </w:t>
            </w:r>
            <w:r w:rsidR="000A336D">
              <w:rPr>
                <w:b/>
                <w:bCs/>
                <w:sz w:val="24"/>
                <w:szCs w:val="24"/>
              </w:rPr>
              <w:fldChar w:fldCharType="begin"/>
            </w:r>
            <w:r>
              <w:rPr>
                <w:b/>
                <w:bCs/>
              </w:rPr>
              <w:instrText xml:space="preserve"> NUMPAGES  </w:instrText>
            </w:r>
            <w:r w:rsidR="000A336D">
              <w:rPr>
                <w:b/>
                <w:bCs/>
                <w:sz w:val="24"/>
                <w:szCs w:val="24"/>
              </w:rPr>
              <w:fldChar w:fldCharType="separate"/>
            </w:r>
            <w:r w:rsidR="00827787">
              <w:rPr>
                <w:b/>
                <w:bCs/>
                <w:noProof/>
              </w:rPr>
              <w:t>2</w:t>
            </w:r>
            <w:r w:rsidR="000A336D">
              <w:rPr>
                <w:b/>
                <w:bCs/>
                <w:sz w:val="24"/>
                <w:szCs w:val="24"/>
              </w:rPr>
              <w:fldChar w:fldCharType="end"/>
            </w:r>
          </w:p>
        </w:sdtContent>
      </w:sdt>
    </w:sdtContent>
  </w:sdt>
  <w:p w:rsidR="000A336D" w:rsidRDefault="000A3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C5D" w:rsidRDefault="001B4C5D" w:rsidP="000A336D">
      <w:r>
        <w:separator/>
      </w:r>
    </w:p>
  </w:footnote>
  <w:footnote w:type="continuationSeparator" w:id="0">
    <w:p w:rsidR="001B4C5D" w:rsidRDefault="001B4C5D" w:rsidP="000A3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20364"/>
    <w:multiLevelType w:val="multilevel"/>
    <w:tmpl w:val="55520364"/>
    <w:lvl w:ilvl="0">
      <w:start w:val="1"/>
      <w:numFmt w:val="decimal"/>
      <w:lvlText w:val="%1."/>
      <w:lvlJc w:val="left"/>
      <w:pPr>
        <w:ind w:left="360" w:hanging="360"/>
      </w:pPr>
      <w:rPr>
        <w:rFonts w:ascii="Times New Roman" w:eastAsia="Cambria" w:hAnsi="Times New Roman" w:cs="Times New Roman" w:hint="default"/>
        <w:b/>
        <w:bCs/>
        <w:spacing w:val="-2"/>
        <w:w w:val="99"/>
        <w:sz w:val="20"/>
        <w:szCs w:val="20"/>
      </w:rPr>
    </w:lvl>
    <w:lvl w:ilvl="1">
      <w:numFmt w:val="bullet"/>
      <w:lvlText w:val="•"/>
      <w:lvlJc w:val="left"/>
      <w:pPr>
        <w:ind w:left="1374" w:hanging="360"/>
      </w:pPr>
      <w:rPr>
        <w:rFonts w:hint="default"/>
      </w:rPr>
    </w:lvl>
    <w:lvl w:ilvl="2">
      <w:numFmt w:val="bullet"/>
      <w:lvlText w:val="•"/>
      <w:lvlJc w:val="left"/>
      <w:pPr>
        <w:ind w:left="2289" w:hanging="360"/>
      </w:pPr>
      <w:rPr>
        <w:rFonts w:hint="default"/>
      </w:rPr>
    </w:lvl>
    <w:lvl w:ilvl="3">
      <w:numFmt w:val="bullet"/>
      <w:lvlText w:val="•"/>
      <w:lvlJc w:val="left"/>
      <w:pPr>
        <w:ind w:left="3203" w:hanging="360"/>
      </w:pPr>
      <w:rPr>
        <w:rFonts w:hint="default"/>
      </w:rPr>
    </w:lvl>
    <w:lvl w:ilvl="4">
      <w:numFmt w:val="bullet"/>
      <w:lvlText w:val="•"/>
      <w:lvlJc w:val="left"/>
      <w:pPr>
        <w:ind w:left="4118" w:hanging="360"/>
      </w:pPr>
      <w:rPr>
        <w:rFonts w:hint="default"/>
      </w:rPr>
    </w:lvl>
    <w:lvl w:ilvl="5">
      <w:numFmt w:val="bullet"/>
      <w:lvlText w:val="•"/>
      <w:lvlJc w:val="left"/>
      <w:pPr>
        <w:ind w:left="5033" w:hanging="360"/>
      </w:pPr>
      <w:rPr>
        <w:rFonts w:hint="default"/>
      </w:rPr>
    </w:lvl>
    <w:lvl w:ilvl="6">
      <w:numFmt w:val="bullet"/>
      <w:lvlText w:val="•"/>
      <w:lvlJc w:val="left"/>
      <w:pPr>
        <w:ind w:left="5947" w:hanging="360"/>
      </w:pPr>
      <w:rPr>
        <w:rFonts w:hint="default"/>
      </w:rPr>
    </w:lvl>
    <w:lvl w:ilvl="7">
      <w:numFmt w:val="bullet"/>
      <w:lvlText w:val="•"/>
      <w:lvlJc w:val="left"/>
      <w:pPr>
        <w:ind w:left="6862" w:hanging="360"/>
      </w:pPr>
      <w:rPr>
        <w:rFonts w:hint="default"/>
      </w:rPr>
    </w:lvl>
    <w:lvl w:ilvl="8">
      <w:numFmt w:val="bullet"/>
      <w:lvlText w:val="•"/>
      <w:lvlJc w:val="left"/>
      <w:pPr>
        <w:ind w:left="777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CC2576"/>
    <w:rsid w:val="00027ECC"/>
    <w:rsid w:val="00055AEB"/>
    <w:rsid w:val="000917EC"/>
    <w:rsid w:val="00096782"/>
    <w:rsid w:val="00096906"/>
    <w:rsid w:val="000A336D"/>
    <w:rsid w:val="000A6CEE"/>
    <w:rsid w:val="000C1B9E"/>
    <w:rsid w:val="000E51C3"/>
    <w:rsid w:val="00135CFA"/>
    <w:rsid w:val="00172654"/>
    <w:rsid w:val="001915C8"/>
    <w:rsid w:val="001B4C5D"/>
    <w:rsid w:val="001E7D3B"/>
    <w:rsid w:val="00216B8E"/>
    <w:rsid w:val="00216BCB"/>
    <w:rsid w:val="00235373"/>
    <w:rsid w:val="002423E2"/>
    <w:rsid w:val="00272DDB"/>
    <w:rsid w:val="002A2091"/>
    <w:rsid w:val="002A43B2"/>
    <w:rsid w:val="00342CD6"/>
    <w:rsid w:val="003457F4"/>
    <w:rsid w:val="00380F9A"/>
    <w:rsid w:val="00392C82"/>
    <w:rsid w:val="003B610E"/>
    <w:rsid w:val="003F7370"/>
    <w:rsid w:val="00454C4B"/>
    <w:rsid w:val="00454F8B"/>
    <w:rsid w:val="00463201"/>
    <w:rsid w:val="00487FC8"/>
    <w:rsid w:val="004A4F86"/>
    <w:rsid w:val="004B1DE1"/>
    <w:rsid w:val="004C1D3F"/>
    <w:rsid w:val="004C3EC3"/>
    <w:rsid w:val="004D3E70"/>
    <w:rsid w:val="004D5C50"/>
    <w:rsid w:val="004F3DBF"/>
    <w:rsid w:val="00571BDA"/>
    <w:rsid w:val="0061681B"/>
    <w:rsid w:val="0062347D"/>
    <w:rsid w:val="00624CB1"/>
    <w:rsid w:val="00654657"/>
    <w:rsid w:val="006A3868"/>
    <w:rsid w:val="006C5EFD"/>
    <w:rsid w:val="0070709F"/>
    <w:rsid w:val="00735BB5"/>
    <w:rsid w:val="00753CEF"/>
    <w:rsid w:val="00794B07"/>
    <w:rsid w:val="007B0EA8"/>
    <w:rsid w:val="007D1B7F"/>
    <w:rsid w:val="00827787"/>
    <w:rsid w:val="00841393"/>
    <w:rsid w:val="008D6D75"/>
    <w:rsid w:val="009868A6"/>
    <w:rsid w:val="00A028CB"/>
    <w:rsid w:val="00A62B01"/>
    <w:rsid w:val="00AA0371"/>
    <w:rsid w:val="00AE2750"/>
    <w:rsid w:val="00B3605D"/>
    <w:rsid w:val="00BB3043"/>
    <w:rsid w:val="00BF39EF"/>
    <w:rsid w:val="00CC2576"/>
    <w:rsid w:val="00CE1319"/>
    <w:rsid w:val="00D75D26"/>
    <w:rsid w:val="00D91C2E"/>
    <w:rsid w:val="00DF133C"/>
    <w:rsid w:val="00E10723"/>
    <w:rsid w:val="00E93E89"/>
    <w:rsid w:val="00EA57F6"/>
    <w:rsid w:val="00F60FBF"/>
    <w:rsid w:val="00FB225D"/>
    <w:rsid w:val="20F83373"/>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ta-IN"/>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336D"/>
    <w:pPr>
      <w:widowControl w:val="0"/>
      <w:autoSpaceDE w:val="0"/>
      <w:autoSpaceDN w:val="0"/>
    </w:pPr>
    <w:rPr>
      <w:rFonts w:ascii="Cambria" w:eastAsia="Cambria" w:hAnsi="Cambria" w:cs="Cambria"/>
      <w:sz w:val="22"/>
      <w:szCs w:val="22"/>
      <w:lang w:bidi="ar-SA"/>
    </w:rPr>
  </w:style>
  <w:style w:type="paragraph" w:styleId="Heading1">
    <w:name w:val="heading 1"/>
    <w:basedOn w:val="Normal"/>
    <w:next w:val="Normal"/>
    <w:uiPriority w:val="1"/>
    <w:qFormat/>
    <w:rsid w:val="000A336D"/>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36D"/>
    <w:rPr>
      <w:rFonts w:ascii="Tahoma" w:hAnsi="Tahoma" w:cs="Tahoma"/>
      <w:sz w:val="16"/>
      <w:szCs w:val="16"/>
    </w:rPr>
  </w:style>
  <w:style w:type="paragraph" w:styleId="BodyText">
    <w:name w:val="Body Text"/>
    <w:basedOn w:val="Normal"/>
    <w:uiPriority w:val="1"/>
    <w:qFormat/>
    <w:rsid w:val="000A336D"/>
  </w:style>
  <w:style w:type="character" w:styleId="CommentReference">
    <w:name w:val="annotation reference"/>
    <w:basedOn w:val="DefaultParagraphFont"/>
    <w:uiPriority w:val="99"/>
    <w:semiHidden/>
    <w:unhideWhenUsed/>
    <w:rsid w:val="000A336D"/>
    <w:rPr>
      <w:sz w:val="16"/>
      <w:szCs w:val="16"/>
    </w:rPr>
  </w:style>
  <w:style w:type="paragraph" w:styleId="CommentText">
    <w:name w:val="annotation text"/>
    <w:basedOn w:val="Normal"/>
    <w:link w:val="CommentTextChar"/>
    <w:uiPriority w:val="99"/>
    <w:semiHidden/>
    <w:unhideWhenUsed/>
    <w:rsid w:val="000A336D"/>
    <w:rPr>
      <w:sz w:val="20"/>
      <w:szCs w:val="20"/>
    </w:rPr>
  </w:style>
  <w:style w:type="paragraph" w:styleId="CommentSubject">
    <w:name w:val="annotation subject"/>
    <w:basedOn w:val="CommentText"/>
    <w:next w:val="CommentText"/>
    <w:link w:val="CommentSubjectChar"/>
    <w:uiPriority w:val="99"/>
    <w:semiHidden/>
    <w:unhideWhenUsed/>
    <w:rsid w:val="000A336D"/>
    <w:rPr>
      <w:b/>
      <w:bCs/>
    </w:rPr>
  </w:style>
  <w:style w:type="paragraph" w:styleId="Footer">
    <w:name w:val="footer"/>
    <w:basedOn w:val="Normal"/>
    <w:link w:val="FooterChar"/>
    <w:uiPriority w:val="99"/>
    <w:unhideWhenUsed/>
    <w:qFormat/>
    <w:rsid w:val="000A336D"/>
    <w:pPr>
      <w:tabs>
        <w:tab w:val="center" w:pos="4680"/>
        <w:tab w:val="right" w:pos="9360"/>
      </w:tabs>
    </w:pPr>
  </w:style>
  <w:style w:type="paragraph" w:styleId="Header">
    <w:name w:val="header"/>
    <w:basedOn w:val="Normal"/>
    <w:link w:val="HeaderChar"/>
    <w:uiPriority w:val="99"/>
    <w:unhideWhenUsed/>
    <w:rsid w:val="000A336D"/>
    <w:pPr>
      <w:tabs>
        <w:tab w:val="center" w:pos="4680"/>
        <w:tab w:val="right" w:pos="9360"/>
      </w:tabs>
    </w:pPr>
  </w:style>
  <w:style w:type="character" w:styleId="Hyperlink">
    <w:name w:val="Hyperlink"/>
    <w:basedOn w:val="DefaultParagraphFont"/>
    <w:uiPriority w:val="99"/>
    <w:unhideWhenUsed/>
    <w:rsid w:val="000A336D"/>
    <w:rPr>
      <w:color w:val="0000FF" w:themeColor="hyperlink"/>
      <w:u w:val="single"/>
    </w:rPr>
  </w:style>
  <w:style w:type="paragraph" w:styleId="ListParagraph">
    <w:name w:val="List Paragraph"/>
    <w:basedOn w:val="Normal"/>
    <w:uiPriority w:val="1"/>
    <w:qFormat/>
    <w:rsid w:val="000A336D"/>
    <w:pPr>
      <w:ind w:left="460" w:hanging="360"/>
    </w:pPr>
  </w:style>
  <w:style w:type="paragraph" w:customStyle="1" w:styleId="TableParagraph">
    <w:name w:val="Table Paragraph"/>
    <w:basedOn w:val="Normal"/>
    <w:uiPriority w:val="1"/>
    <w:qFormat/>
    <w:rsid w:val="000A336D"/>
    <w:pPr>
      <w:spacing w:before="4"/>
      <w:ind w:left="103"/>
    </w:pPr>
  </w:style>
  <w:style w:type="character" w:customStyle="1" w:styleId="CommentTextChar">
    <w:name w:val="Comment Text Char"/>
    <w:basedOn w:val="DefaultParagraphFont"/>
    <w:link w:val="CommentText"/>
    <w:uiPriority w:val="99"/>
    <w:semiHidden/>
    <w:qFormat/>
    <w:rsid w:val="000A336D"/>
    <w:rPr>
      <w:rFonts w:ascii="Cambria" w:eastAsia="Cambria" w:hAnsi="Cambria" w:cs="Cambria"/>
      <w:sz w:val="20"/>
      <w:szCs w:val="20"/>
    </w:rPr>
  </w:style>
  <w:style w:type="character" w:customStyle="1" w:styleId="CommentSubjectChar">
    <w:name w:val="Comment Subject Char"/>
    <w:basedOn w:val="CommentTextChar"/>
    <w:link w:val="CommentSubject"/>
    <w:uiPriority w:val="99"/>
    <w:semiHidden/>
    <w:rsid w:val="000A336D"/>
    <w:rPr>
      <w:rFonts w:ascii="Cambria" w:eastAsia="Cambria" w:hAnsi="Cambria" w:cs="Cambria"/>
      <w:b/>
      <w:bCs/>
      <w:sz w:val="20"/>
      <w:szCs w:val="20"/>
    </w:rPr>
  </w:style>
  <w:style w:type="character" w:customStyle="1" w:styleId="BalloonTextChar">
    <w:name w:val="Balloon Text Char"/>
    <w:basedOn w:val="DefaultParagraphFont"/>
    <w:link w:val="BalloonText"/>
    <w:uiPriority w:val="99"/>
    <w:semiHidden/>
    <w:rsid w:val="000A336D"/>
    <w:rPr>
      <w:rFonts w:ascii="Tahoma" w:eastAsia="Cambria" w:hAnsi="Tahoma" w:cs="Tahoma"/>
      <w:sz w:val="16"/>
      <w:szCs w:val="16"/>
    </w:rPr>
  </w:style>
  <w:style w:type="character" w:customStyle="1" w:styleId="HeaderChar">
    <w:name w:val="Header Char"/>
    <w:basedOn w:val="DefaultParagraphFont"/>
    <w:link w:val="Header"/>
    <w:uiPriority w:val="99"/>
    <w:qFormat/>
    <w:rsid w:val="000A336D"/>
    <w:rPr>
      <w:rFonts w:ascii="Cambria" w:eastAsia="Cambria" w:hAnsi="Cambria" w:cs="Cambria"/>
    </w:rPr>
  </w:style>
  <w:style w:type="character" w:customStyle="1" w:styleId="FooterChar">
    <w:name w:val="Footer Char"/>
    <w:basedOn w:val="DefaultParagraphFont"/>
    <w:link w:val="Footer"/>
    <w:uiPriority w:val="99"/>
    <w:rsid w:val="000A336D"/>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538</Words>
  <Characters>3073</Characters>
  <Application>Microsoft Office Word</Application>
  <DocSecurity>0</DocSecurity>
  <Lines>25</Lines>
  <Paragraphs>7</Paragraphs>
  <ScaleCrop>false</ScaleCrop>
  <Company>J Sagar Associates</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Priyankar Shetty</dc:creator>
  <cp:lastModifiedBy>user</cp:lastModifiedBy>
  <cp:revision>14</cp:revision>
  <dcterms:created xsi:type="dcterms:W3CDTF">2021-12-27T12:41:00Z</dcterms:created>
  <dcterms:modified xsi:type="dcterms:W3CDTF">2022-10-15T12:05:00Z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Nitro Pro 9  (9. 5. 2. 29)</vt:lpwstr>
  </property>
  <property fmtid="{D5CDD505-2E9C-101B-9397-08002B2CF9AE}" pid="4" name="LastSaved">
    <vt:filetime>2018-07-09T00:00:00Z</vt:filetime>
  </property>
  <property fmtid="{D5CDD505-2E9C-101B-9397-08002B2CF9AE}" pid="5" name="KSOProductBuildVer">
    <vt:lpwstr>1033-11.2.0.11341</vt:lpwstr>
  </property>
  <property fmtid="{D5CDD505-2E9C-101B-9397-08002B2CF9AE}" pid="6" name="ICV">
    <vt:lpwstr>5DB7733F004C43AAAA4DDB69F9B3F82A</vt:lpwstr>
  </property>
</Properties>
</file>