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25" w:rsidRDefault="004D2025">
      <w:pPr>
        <w:pStyle w:val="BodyText"/>
        <w:spacing w:before="100"/>
        <w:jc w:val="both"/>
        <w:rPr>
          <w:rFonts w:ascii="Times New Roman" w:hAnsi="Times New Roman" w:cs="Times New Roman"/>
          <w:b/>
          <w:sz w:val="20"/>
          <w:szCs w:val="20"/>
        </w:rPr>
      </w:pPr>
      <w:r>
        <w:rPr>
          <w:rFonts w:ascii="Times New Roman" w:hAnsi="Times New Roman" w:cs="Times New Roman"/>
          <w:b/>
          <w:sz w:val="20"/>
          <w:szCs w:val="20"/>
        </w:rPr>
        <w:t>THANGAMAYIL JEWELLERY LIMITED:</w:t>
      </w:r>
    </w:p>
    <w:p w:rsidR="004D2025" w:rsidRDefault="004D2025">
      <w:pPr>
        <w:pStyle w:val="BodyText"/>
        <w:spacing w:before="100"/>
        <w:jc w:val="both"/>
        <w:rPr>
          <w:rFonts w:ascii="Times New Roman" w:hAnsi="Times New Roman" w:cs="Times New Roman"/>
          <w:b/>
          <w:sz w:val="20"/>
          <w:szCs w:val="20"/>
        </w:rPr>
      </w:pPr>
    </w:p>
    <w:p w:rsidR="00BB7682" w:rsidRDefault="00A30709">
      <w:pPr>
        <w:pStyle w:val="BodyText"/>
        <w:spacing w:before="100"/>
        <w:jc w:val="both"/>
        <w:rPr>
          <w:rFonts w:ascii="Times New Roman" w:hAnsi="Times New Roman" w:cs="Times New Roman"/>
          <w:b/>
          <w:sz w:val="20"/>
          <w:szCs w:val="20"/>
        </w:rPr>
      </w:pPr>
      <w:r>
        <w:rPr>
          <w:rFonts w:ascii="Times New Roman" w:hAnsi="Times New Roman" w:cs="Times New Roman"/>
          <w:b/>
          <w:sz w:val="20"/>
          <w:szCs w:val="20"/>
        </w:rPr>
        <w:t>PREAMBLE</w:t>
      </w:r>
    </w:p>
    <w:p w:rsidR="00BB7682" w:rsidRDefault="00BB7682">
      <w:pPr>
        <w:pStyle w:val="BodyText"/>
        <w:rPr>
          <w:rFonts w:ascii="Times New Roman" w:hAnsi="Times New Roman" w:cs="Times New Roman"/>
          <w:b/>
          <w:sz w:val="20"/>
          <w:szCs w:val="20"/>
        </w:rPr>
      </w:pPr>
    </w:p>
    <w:p w:rsidR="00BB7682" w:rsidRDefault="00A30709">
      <w:pPr>
        <w:pStyle w:val="BodyText"/>
        <w:ind w:right="179"/>
        <w:jc w:val="both"/>
        <w:rPr>
          <w:rFonts w:ascii="Times New Roman" w:hAnsi="Times New Roman" w:cs="Times New Roman"/>
          <w:sz w:val="20"/>
          <w:szCs w:val="20"/>
        </w:rPr>
      </w:pPr>
      <w:r>
        <w:rPr>
          <w:rFonts w:ascii="Times New Roman" w:hAnsi="Times New Roman" w:cs="Times New Roman"/>
          <w:sz w:val="20"/>
          <w:szCs w:val="20"/>
        </w:rPr>
        <w:t xml:space="preserve">Regulation 25(7) of the Securities and Exchange Board of India (Listing Obligations and Disclosure Requirements) Regulations, 2015 as amended from time to time, inter alia requires the company to familiarize the independent directors with the Company, their roles and responsibilities in the Company, nature of the industry in which the Company operates, business model of the Company etc. through various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Thangamayil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Jewellery</w:t>
      </w:r>
      <w:proofErr w:type="spellEnd"/>
      <w:r>
        <w:rPr>
          <w:rFonts w:ascii="Times New Roman" w:hAnsi="Times New Roman" w:cs="Times New Roman"/>
          <w:sz w:val="20"/>
          <w:szCs w:val="20"/>
        </w:rPr>
        <w:t xml:space="preserve"> Limited (the “</w:t>
      </w:r>
      <w:r>
        <w:rPr>
          <w:rFonts w:ascii="Times New Roman" w:hAnsi="Times New Roman" w:cs="Times New Roman"/>
          <w:b/>
          <w:sz w:val="20"/>
          <w:szCs w:val="20"/>
        </w:rPr>
        <w:t>Company</w:t>
      </w:r>
      <w:r>
        <w:rPr>
          <w:rFonts w:ascii="Times New Roman" w:hAnsi="Times New Roman" w:cs="Times New Roman"/>
          <w:sz w:val="20"/>
          <w:szCs w:val="20"/>
        </w:rPr>
        <w:t xml:space="preserve">”) adopted this Familiarization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for Independent Directors (“</w:t>
      </w:r>
      <w:r>
        <w:rPr>
          <w:rFonts w:ascii="Times New Roman" w:hAnsi="Times New Roman" w:cs="Times New Roman"/>
          <w:b/>
          <w:sz w:val="20"/>
          <w:szCs w:val="20"/>
        </w:rPr>
        <w:t xml:space="preserve">Familiarization </w:t>
      </w:r>
      <w:proofErr w:type="spellStart"/>
      <w:r>
        <w:rPr>
          <w:rFonts w:ascii="Times New Roman" w:hAnsi="Times New Roman" w:cs="Times New Roman"/>
          <w:b/>
          <w:sz w:val="20"/>
          <w:szCs w:val="20"/>
        </w:rPr>
        <w:t>Programme</w:t>
      </w:r>
      <w:proofErr w:type="spellEnd"/>
      <w:r>
        <w:rPr>
          <w:rFonts w:ascii="Times New Roman" w:hAnsi="Times New Roman" w:cs="Times New Roman"/>
          <w:sz w:val="20"/>
          <w:szCs w:val="20"/>
        </w:rPr>
        <w:t>”).</w:t>
      </w:r>
    </w:p>
    <w:p w:rsidR="00BB7682" w:rsidRDefault="00BB7682">
      <w:pPr>
        <w:pStyle w:val="BodyText"/>
        <w:rPr>
          <w:rFonts w:ascii="Times New Roman" w:hAnsi="Times New Roman" w:cs="Times New Roman"/>
          <w:sz w:val="20"/>
          <w:szCs w:val="20"/>
        </w:rPr>
      </w:pPr>
    </w:p>
    <w:p w:rsidR="00BB7682" w:rsidRDefault="00A30709">
      <w:pPr>
        <w:pStyle w:val="BodyText"/>
        <w:jc w:val="both"/>
        <w:rPr>
          <w:rFonts w:ascii="Times New Roman" w:hAnsi="Times New Roman" w:cs="Times New Roman"/>
          <w:b/>
          <w:sz w:val="20"/>
          <w:szCs w:val="20"/>
        </w:rPr>
      </w:pPr>
      <w:r>
        <w:rPr>
          <w:rFonts w:ascii="Times New Roman" w:hAnsi="Times New Roman" w:cs="Times New Roman"/>
          <w:b/>
          <w:sz w:val="20"/>
          <w:szCs w:val="20"/>
        </w:rPr>
        <w:t>OBJECTIVES</w:t>
      </w:r>
    </w:p>
    <w:p w:rsidR="00BB7682" w:rsidRDefault="00BB7682">
      <w:pPr>
        <w:pStyle w:val="BodyText"/>
        <w:spacing w:before="1"/>
        <w:rPr>
          <w:rFonts w:ascii="Times New Roman" w:hAnsi="Times New Roman" w:cs="Times New Roman"/>
          <w:b/>
          <w:sz w:val="20"/>
          <w:szCs w:val="20"/>
        </w:rPr>
      </w:pPr>
    </w:p>
    <w:p w:rsidR="00BB7682" w:rsidRDefault="00A30709">
      <w:pPr>
        <w:pStyle w:val="BodyText"/>
        <w:jc w:val="both"/>
        <w:rPr>
          <w:rFonts w:ascii="Times New Roman" w:hAnsi="Times New Roman" w:cs="Times New Roman"/>
          <w:sz w:val="20"/>
          <w:szCs w:val="20"/>
        </w:rPr>
      </w:pPr>
      <w:r>
        <w:rPr>
          <w:rFonts w:ascii="Times New Roman" w:hAnsi="Times New Roman" w:cs="Times New Roman"/>
          <w:sz w:val="20"/>
          <w:szCs w:val="20"/>
        </w:rPr>
        <w:t xml:space="preserve">The objective of the Familiarization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is to help the independent directors understand the Company, the operations, business, industry and environment in which it functions and the regulatory environment applicable to it. The Company shall familiarize the independent directors about the Company, including the following:</w:t>
      </w:r>
    </w:p>
    <w:p w:rsidR="00BB7682" w:rsidRDefault="00A30709">
      <w:pPr>
        <w:pStyle w:val="BodyText"/>
        <w:numPr>
          <w:ilvl w:val="0"/>
          <w:numId w:val="1"/>
        </w:numPr>
        <w:rPr>
          <w:rFonts w:ascii="Times New Roman" w:hAnsi="Times New Roman" w:cs="Times New Roman"/>
          <w:sz w:val="20"/>
          <w:szCs w:val="20"/>
        </w:rPr>
      </w:pPr>
      <w:r>
        <w:rPr>
          <w:rFonts w:ascii="Times New Roman" w:hAnsi="Times New Roman" w:cs="Times New Roman"/>
          <w:sz w:val="20"/>
          <w:szCs w:val="20"/>
        </w:rPr>
        <w:t>Nature of the industry in which the Company operates;</w:t>
      </w:r>
    </w:p>
    <w:p w:rsidR="00BB7682" w:rsidRDefault="00A30709">
      <w:pPr>
        <w:pStyle w:val="BodyText"/>
        <w:numPr>
          <w:ilvl w:val="0"/>
          <w:numId w:val="1"/>
        </w:numPr>
        <w:rPr>
          <w:rFonts w:ascii="Times New Roman" w:hAnsi="Times New Roman" w:cs="Times New Roman"/>
          <w:sz w:val="20"/>
          <w:szCs w:val="20"/>
        </w:rPr>
      </w:pPr>
      <w:r>
        <w:rPr>
          <w:rFonts w:ascii="Times New Roman" w:hAnsi="Times New Roman" w:cs="Times New Roman"/>
          <w:sz w:val="20"/>
          <w:szCs w:val="20"/>
        </w:rPr>
        <w:t>Business model of the Company;</w:t>
      </w:r>
    </w:p>
    <w:p w:rsidR="00BB7682" w:rsidRDefault="00A30709">
      <w:pPr>
        <w:pStyle w:val="BodyText"/>
        <w:numPr>
          <w:ilvl w:val="0"/>
          <w:numId w:val="1"/>
        </w:numPr>
        <w:rPr>
          <w:rFonts w:ascii="Times New Roman" w:hAnsi="Times New Roman" w:cs="Times New Roman"/>
          <w:sz w:val="20"/>
          <w:szCs w:val="20"/>
        </w:rPr>
      </w:pPr>
      <w:r>
        <w:rPr>
          <w:rFonts w:ascii="Times New Roman" w:hAnsi="Times New Roman" w:cs="Times New Roman"/>
          <w:sz w:val="20"/>
          <w:szCs w:val="20"/>
        </w:rPr>
        <w:t>Roles, rights, responsibilities of independent directors; and</w:t>
      </w:r>
    </w:p>
    <w:p w:rsidR="00BB7682" w:rsidRDefault="00A30709">
      <w:pPr>
        <w:pStyle w:val="BodyText"/>
        <w:numPr>
          <w:ilvl w:val="0"/>
          <w:numId w:val="1"/>
        </w:numPr>
        <w:rPr>
          <w:rFonts w:ascii="Times New Roman" w:hAnsi="Times New Roman" w:cs="Times New Roman"/>
          <w:sz w:val="20"/>
          <w:szCs w:val="20"/>
        </w:rPr>
      </w:pPr>
      <w:r>
        <w:rPr>
          <w:rFonts w:ascii="Times New Roman" w:hAnsi="Times New Roman" w:cs="Times New Roman"/>
          <w:sz w:val="20"/>
          <w:szCs w:val="20"/>
        </w:rPr>
        <w:t>Any other relevant information.</w:t>
      </w:r>
    </w:p>
    <w:p w:rsidR="00BB7682" w:rsidRDefault="00BB7682">
      <w:pPr>
        <w:pStyle w:val="BodyText"/>
        <w:rPr>
          <w:rFonts w:ascii="Times New Roman" w:hAnsi="Times New Roman" w:cs="Times New Roman"/>
          <w:sz w:val="20"/>
          <w:szCs w:val="20"/>
        </w:rPr>
      </w:pPr>
    </w:p>
    <w:p w:rsidR="00BB7682" w:rsidRDefault="00A30709">
      <w:pPr>
        <w:pStyle w:val="BodyText"/>
        <w:ind w:right="173"/>
        <w:jc w:val="both"/>
        <w:rPr>
          <w:rFonts w:ascii="Times New Roman" w:hAnsi="Times New Roman" w:cs="Times New Roman"/>
          <w:sz w:val="20"/>
          <w:szCs w:val="20"/>
        </w:rPr>
      </w:pPr>
      <w:r>
        <w:rPr>
          <w:rFonts w:ascii="Times New Roman" w:hAnsi="Times New Roman" w:cs="Times New Roman"/>
          <w:sz w:val="20"/>
          <w:szCs w:val="20"/>
        </w:rPr>
        <w:t xml:space="preserve"> The Company shall follow a structured orientation and training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for the Independent Directors to understand and get updated on the business and operations of the Company on a continuous basis.</w:t>
      </w:r>
    </w:p>
    <w:p w:rsidR="00BB7682" w:rsidRDefault="00BB7682">
      <w:pPr>
        <w:pStyle w:val="BodyText"/>
        <w:ind w:right="173"/>
        <w:jc w:val="both"/>
        <w:rPr>
          <w:rFonts w:ascii="Times New Roman" w:hAnsi="Times New Roman" w:cs="Times New Roman"/>
          <w:sz w:val="20"/>
          <w:szCs w:val="20"/>
        </w:rPr>
      </w:pPr>
    </w:p>
    <w:p w:rsidR="00BB7682" w:rsidRDefault="00A30709">
      <w:pPr>
        <w:pStyle w:val="BodyText"/>
        <w:ind w:right="177"/>
        <w:jc w:val="both"/>
        <w:rPr>
          <w:rFonts w:ascii="Times New Roman" w:hAnsi="Times New Roman" w:cs="Times New Roman"/>
          <w:sz w:val="20"/>
          <w:szCs w:val="20"/>
        </w:rPr>
      </w:pPr>
      <w:r>
        <w:rPr>
          <w:rFonts w:ascii="Times New Roman" w:hAnsi="Times New Roman" w:cs="Times New Roman"/>
          <w:sz w:val="20"/>
          <w:szCs w:val="20"/>
        </w:rPr>
        <w:t>The Program aims to provide insights into the Company to enable the Independent Directors understand their roles, rights and responsibilities and to get updated on the Company’ Business &amp; Operations so that they may contribute significantly to the Company.</w:t>
      </w:r>
    </w:p>
    <w:p w:rsidR="00BB7682" w:rsidRDefault="00BB7682">
      <w:pPr>
        <w:pStyle w:val="BodyText"/>
        <w:spacing w:before="19"/>
        <w:rPr>
          <w:rFonts w:ascii="Times New Roman" w:hAnsi="Times New Roman" w:cs="Times New Roman"/>
          <w:b/>
          <w:sz w:val="20"/>
          <w:szCs w:val="20"/>
        </w:rPr>
      </w:pPr>
    </w:p>
    <w:p w:rsidR="00BB7682" w:rsidRDefault="00A30709">
      <w:pPr>
        <w:pStyle w:val="BodyText"/>
        <w:spacing w:before="19"/>
        <w:rPr>
          <w:rFonts w:ascii="Times New Roman" w:hAnsi="Times New Roman" w:cs="Times New Roman"/>
          <w:b/>
          <w:sz w:val="20"/>
          <w:szCs w:val="20"/>
        </w:rPr>
      </w:pPr>
      <w:r>
        <w:rPr>
          <w:rFonts w:ascii="Times New Roman" w:hAnsi="Times New Roman" w:cs="Times New Roman"/>
          <w:b/>
          <w:sz w:val="20"/>
          <w:szCs w:val="20"/>
        </w:rPr>
        <w:t>ORIENTATION PROGRAMME FOR NEW DIRECTORS:</w:t>
      </w:r>
    </w:p>
    <w:p w:rsidR="00BB7682" w:rsidRDefault="00BB7682">
      <w:pPr>
        <w:pStyle w:val="BodyText"/>
        <w:spacing w:before="19"/>
        <w:rPr>
          <w:rFonts w:ascii="Times New Roman" w:hAnsi="Times New Roman" w:cs="Times New Roman"/>
          <w:b/>
          <w:sz w:val="20"/>
          <w:szCs w:val="20"/>
        </w:rPr>
      </w:pPr>
    </w:p>
    <w:p w:rsidR="00BB7682" w:rsidRDefault="00A30709">
      <w:pPr>
        <w:pStyle w:val="BodyText"/>
        <w:spacing w:before="19"/>
        <w:jc w:val="both"/>
        <w:rPr>
          <w:rFonts w:ascii="Times New Roman" w:hAnsi="Times New Roman" w:cs="Times New Roman"/>
          <w:sz w:val="20"/>
          <w:szCs w:val="20"/>
        </w:rPr>
      </w:pPr>
      <w:r>
        <w:rPr>
          <w:rFonts w:ascii="Times New Roman" w:hAnsi="Times New Roman" w:cs="Times New Roman"/>
          <w:sz w:val="20"/>
          <w:szCs w:val="20"/>
        </w:rPr>
        <w:t xml:space="preserve">The Company shall conduct an orientation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for the new independent director, which may include familiarization of director with the following:</w:t>
      </w:r>
    </w:p>
    <w:p w:rsidR="00BB7682" w:rsidRDefault="00BB7682">
      <w:pPr>
        <w:pStyle w:val="BodyText"/>
        <w:spacing w:before="19"/>
        <w:rPr>
          <w:rFonts w:ascii="Times New Roman" w:hAnsi="Times New Roman" w:cs="Times New Roman"/>
          <w:b/>
          <w:sz w:val="20"/>
          <w:szCs w:val="20"/>
        </w:rPr>
      </w:pP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Roles, rights and responsibilities of the Director and the Board as a whole;</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Company’s vision, core values, ethics and Corporate Governance practices;</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Board evaluation process and</w:t>
      </w:r>
      <w:r>
        <w:rPr>
          <w:rFonts w:ascii="Times New Roman" w:hAnsi="Times New Roman" w:cs="Times New Roman"/>
          <w:spacing w:val="-21"/>
          <w:sz w:val="20"/>
          <w:szCs w:val="20"/>
        </w:rPr>
        <w:t xml:space="preserve"> </w:t>
      </w:r>
      <w:r>
        <w:rPr>
          <w:rFonts w:ascii="Times New Roman" w:hAnsi="Times New Roman" w:cs="Times New Roman"/>
          <w:sz w:val="20"/>
          <w:szCs w:val="20"/>
        </w:rPr>
        <w:t>procedures.</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Business Structure and Overview, Corporate strategy, annual budgets;</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Familiarization with Company its subsidiaries, joint ventures and associates Business operations, performance, Internal control processes and Statutory Compliances;</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Visits to the Company’s business locations and manufacturing</w:t>
      </w:r>
      <w:r>
        <w:rPr>
          <w:rFonts w:ascii="Times New Roman" w:hAnsi="Times New Roman" w:cs="Times New Roman"/>
          <w:spacing w:val="-9"/>
          <w:sz w:val="20"/>
          <w:szCs w:val="20"/>
        </w:rPr>
        <w:t xml:space="preserve"> </w:t>
      </w:r>
      <w:r>
        <w:rPr>
          <w:rFonts w:ascii="Times New Roman" w:hAnsi="Times New Roman" w:cs="Times New Roman"/>
          <w:sz w:val="20"/>
          <w:szCs w:val="20"/>
        </w:rPr>
        <w:t>units.</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Technical sessions by external consultants/ experts outlining the roles, duties and responsibilities of Independent Directors from Companies Act,</w:t>
      </w:r>
      <w:r>
        <w:rPr>
          <w:rFonts w:ascii="Times New Roman" w:hAnsi="Times New Roman" w:cs="Times New Roman"/>
          <w:spacing w:val="-27"/>
          <w:sz w:val="20"/>
          <w:szCs w:val="20"/>
        </w:rPr>
        <w:t xml:space="preserve"> </w:t>
      </w:r>
      <w:r>
        <w:rPr>
          <w:rFonts w:ascii="Times New Roman" w:hAnsi="Times New Roman" w:cs="Times New Roman"/>
          <w:sz w:val="20"/>
          <w:szCs w:val="20"/>
        </w:rPr>
        <w:t>2013.</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Code of Business Ethics and Conduct, Insider Trading Code, Fair Disclosure Code and others policies as may be formed by the Company from time to time.</w:t>
      </w:r>
    </w:p>
    <w:p w:rsidR="00BB7682" w:rsidRDefault="00BB7682">
      <w:pPr>
        <w:pStyle w:val="BodyText"/>
        <w:spacing w:before="19"/>
        <w:ind w:left="20" w:firstLine="80"/>
        <w:rPr>
          <w:rFonts w:ascii="Times New Roman" w:hAnsi="Times New Roman" w:cs="Times New Roman"/>
          <w:b/>
          <w:sz w:val="20"/>
          <w:szCs w:val="20"/>
        </w:rPr>
      </w:pPr>
    </w:p>
    <w:p w:rsidR="00BB7682" w:rsidRDefault="00A30709">
      <w:pPr>
        <w:pStyle w:val="BodyText"/>
        <w:spacing w:before="19"/>
        <w:rPr>
          <w:rFonts w:ascii="Times New Roman" w:hAnsi="Times New Roman" w:cs="Times New Roman"/>
          <w:b/>
          <w:sz w:val="20"/>
          <w:szCs w:val="20"/>
        </w:rPr>
      </w:pPr>
      <w:r>
        <w:rPr>
          <w:rFonts w:ascii="Times New Roman" w:hAnsi="Times New Roman" w:cs="Times New Roman"/>
          <w:b/>
          <w:sz w:val="20"/>
          <w:szCs w:val="20"/>
        </w:rPr>
        <w:t>ON GOING ORIENTATION</w:t>
      </w:r>
    </w:p>
    <w:p w:rsidR="00BB7682" w:rsidRDefault="00A30709">
      <w:pPr>
        <w:pStyle w:val="BodyText"/>
        <w:spacing w:before="99"/>
        <w:ind w:right="118"/>
        <w:jc w:val="both"/>
        <w:rPr>
          <w:rFonts w:ascii="Times New Roman" w:hAnsi="Times New Roman" w:cs="Times New Roman"/>
          <w:sz w:val="20"/>
          <w:szCs w:val="20"/>
        </w:rPr>
      </w:pPr>
      <w:r>
        <w:rPr>
          <w:rFonts w:ascii="Times New Roman" w:hAnsi="Times New Roman" w:cs="Times New Roman"/>
          <w:sz w:val="20"/>
          <w:szCs w:val="20"/>
        </w:rPr>
        <w:t xml:space="preserve">The Company shall also have a regular </w:t>
      </w:r>
      <w:proofErr w:type="spellStart"/>
      <w:r>
        <w:rPr>
          <w:rFonts w:ascii="Times New Roman" w:hAnsi="Times New Roman" w:cs="Times New Roman"/>
          <w:sz w:val="20"/>
          <w:szCs w:val="20"/>
        </w:rPr>
        <w:t>updation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for its Independent Directors to help them keep abreast of the regulatory and other changes, as follows:</w:t>
      </w:r>
    </w:p>
    <w:p w:rsidR="00BB7682" w:rsidRDefault="00A30709">
      <w:pPr>
        <w:pStyle w:val="BodyText"/>
        <w:numPr>
          <w:ilvl w:val="0"/>
          <w:numId w:val="3"/>
        </w:numPr>
        <w:spacing w:before="99"/>
        <w:ind w:left="567" w:right="118" w:hanging="567"/>
        <w:jc w:val="both"/>
        <w:rPr>
          <w:rFonts w:ascii="Times New Roman" w:hAnsi="Times New Roman" w:cs="Times New Roman"/>
          <w:sz w:val="20"/>
          <w:szCs w:val="20"/>
        </w:rPr>
      </w:pPr>
      <w:r>
        <w:rPr>
          <w:rFonts w:ascii="Times New Roman" w:hAnsi="Times New Roman" w:cs="Times New Roman"/>
          <w:sz w:val="20"/>
          <w:szCs w:val="20"/>
        </w:rPr>
        <w:t>Internal presentations on topics of relevance, changes in the regulatory / tax laws etc.</w:t>
      </w:r>
    </w:p>
    <w:p w:rsidR="00BB7682" w:rsidRDefault="00A30709">
      <w:pPr>
        <w:pStyle w:val="BodyText"/>
        <w:numPr>
          <w:ilvl w:val="0"/>
          <w:numId w:val="3"/>
        </w:numPr>
        <w:spacing w:before="99"/>
        <w:ind w:left="567" w:right="118" w:hanging="567"/>
        <w:jc w:val="both"/>
        <w:rPr>
          <w:rFonts w:ascii="Times New Roman" w:hAnsi="Times New Roman" w:cs="Times New Roman"/>
          <w:sz w:val="20"/>
          <w:szCs w:val="20"/>
        </w:rPr>
      </w:pPr>
      <w:r>
        <w:rPr>
          <w:rFonts w:ascii="Times New Roman" w:hAnsi="Times New Roman" w:cs="Times New Roman"/>
          <w:sz w:val="20"/>
          <w:szCs w:val="20"/>
        </w:rPr>
        <w:t>Presentations by external faculties on the topic of relevance</w:t>
      </w:r>
    </w:p>
    <w:p w:rsidR="00BB7682" w:rsidRDefault="00A30709">
      <w:pPr>
        <w:pStyle w:val="BodyText"/>
        <w:numPr>
          <w:ilvl w:val="0"/>
          <w:numId w:val="3"/>
        </w:numPr>
        <w:spacing w:before="99"/>
        <w:ind w:left="567" w:right="118" w:hanging="567"/>
        <w:jc w:val="both"/>
        <w:rPr>
          <w:rFonts w:ascii="Times New Roman" w:hAnsi="Times New Roman" w:cs="Times New Roman"/>
          <w:sz w:val="20"/>
          <w:szCs w:val="20"/>
        </w:rPr>
      </w:pPr>
      <w:r>
        <w:rPr>
          <w:rFonts w:ascii="Times New Roman" w:hAnsi="Times New Roman" w:cs="Times New Roman"/>
          <w:sz w:val="20"/>
          <w:szCs w:val="20"/>
        </w:rPr>
        <w:t>Changes in policies of the Company</w:t>
      </w:r>
    </w:p>
    <w:p w:rsidR="00BB7682" w:rsidRDefault="00BB7682">
      <w:pPr>
        <w:pStyle w:val="BodyText"/>
        <w:spacing w:before="99"/>
        <w:ind w:left="567" w:right="118"/>
        <w:jc w:val="both"/>
        <w:rPr>
          <w:rFonts w:ascii="Times New Roman" w:hAnsi="Times New Roman" w:cs="Times New Roman"/>
          <w:sz w:val="20"/>
          <w:szCs w:val="20"/>
        </w:rPr>
      </w:pPr>
    </w:p>
    <w:p w:rsidR="00BB7682" w:rsidRDefault="00A30709">
      <w:pPr>
        <w:ind w:right="117"/>
        <w:rPr>
          <w:rFonts w:ascii="Times New Roman" w:hAnsi="Times New Roman" w:cs="Times New Roman"/>
          <w:b/>
          <w:sz w:val="20"/>
          <w:szCs w:val="20"/>
        </w:rPr>
      </w:pPr>
      <w:r>
        <w:rPr>
          <w:rFonts w:ascii="Times New Roman" w:hAnsi="Times New Roman" w:cs="Times New Roman"/>
          <w:b/>
          <w:sz w:val="20"/>
          <w:szCs w:val="20"/>
        </w:rPr>
        <w:t>PROGRAMME AND DISCLOSURE</w:t>
      </w:r>
    </w:p>
    <w:p w:rsidR="00BB7682" w:rsidRDefault="00A30709">
      <w:pPr>
        <w:pStyle w:val="ListParagraph"/>
        <w:numPr>
          <w:ilvl w:val="0"/>
          <w:numId w:val="4"/>
        </w:numPr>
        <w:spacing w:before="99"/>
        <w:ind w:left="567" w:right="99" w:hanging="567"/>
        <w:rPr>
          <w:rFonts w:ascii="Times New Roman" w:hAnsi="Times New Roman" w:cs="Times New Roman"/>
          <w:sz w:val="20"/>
          <w:szCs w:val="20"/>
        </w:rPr>
      </w:pPr>
      <w:r>
        <w:rPr>
          <w:rFonts w:ascii="Times New Roman" w:hAnsi="Times New Roman" w:cs="Times New Roman"/>
          <w:sz w:val="20"/>
          <w:szCs w:val="20"/>
        </w:rPr>
        <w:t xml:space="preserve">Familiarization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will be conducted for new and continuing Independent Directors on “as need” basis during the</w:t>
      </w:r>
      <w:r>
        <w:rPr>
          <w:rFonts w:ascii="Times New Roman" w:hAnsi="Times New Roman" w:cs="Times New Roman"/>
          <w:spacing w:val="-11"/>
          <w:sz w:val="20"/>
          <w:szCs w:val="20"/>
        </w:rPr>
        <w:t xml:space="preserve"> </w:t>
      </w:r>
      <w:r>
        <w:rPr>
          <w:rFonts w:ascii="Times New Roman" w:hAnsi="Times New Roman" w:cs="Times New Roman"/>
          <w:sz w:val="20"/>
          <w:szCs w:val="20"/>
        </w:rPr>
        <w:t>Year.</w:t>
      </w:r>
    </w:p>
    <w:p w:rsidR="00BB7682" w:rsidRDefault="00A30709">
      <w:pPr>
        <w:pStyle w:val="ListParagraph"/>
        <w:numPr>
          <w:ilvl w:val="0"/>
          <w:numId w:val="4"/>
        </w:numPr>
        <w:spacing w:before="99"/>
        <w:ind w:left="567" w:right="99" w:hanging="567"/>
        <w:rPr>
          <w:rFonts w:ascii="Times New Roman" w:hAnsi="Times New Roman" w:cs="Times New Roman"/>
          <w:sz w:val="20"/>
          <w:szCs w:val="20"/>
        </w:rPr>
      </w:pPr>
      <w:r>
        <w:rPr>
          <w:rFonts w:ascii="Times New Roman" w:hAnsi="Times New Roman" w:cs="Times New Roman"/>
          <w:sz w:val="20"/>
          <w:szCs w:val="20"/>
        </w:rPr>
        <w:lastRenderedPageBreak/>
        <w:t xml:space="preserve">The details of the Familiarization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shall be disclosed on the Company’s website i.e. </w:t>
      </w:r>
      <w:r w:rsidRPr="00323B02">
        <w:rPr>
          <w:rFonts w:ascii="Times New Roman" w:hAnsi="Times New Roman" w:cs="Times New Roman"/>
          <w:b/>
          <w:bCs/>
          <w:sz w:val="20"/>
          <w:szCs w:val="20"/>
          <w:u w:val="single"/>
        </w:rPr>
        <w:t>www.thangamayil.com</w:t>
      </w:r>
      <w:r>
        <w:rPr>
          <w:rFonts w:ascii="Times New Roman" w:hAnsi="Times New Roman" w:cs="Times New Roman"/>
          <w:sz w:val="20"/>
          <w:szCs w:val="20"/>
        </w:rPr>
        <w:t xml:space="preserve"> and a web link thereto shall also be given in the Annual Reports of the</w:t>
      </w:r>
      <w:r>
        <w:rPr>
          <w:rFonts w:ascii="Times New Roman" w:hAnsi="Times New Roman" w:cs="Times New Roman"/>
          <w:spacing w:val="-11"/>
          <w:sz w:val="20"/>
          <w:szCs w:val="20"/>
        </w:rPr>
        <w:t xml:space="preserve"> </w:t>
      </w:r>
      <w:r>
        <w:rPr>
          <w:rFonts w:ascii="Times New Roman" w:hAnsi="Times New Roman" w:cs="Times New Roman"/>
          <w:sz w:val="20"/>
          <w:szCs w:val="20"/>
        </w:rPr>
        <w:t xml:space="preserve">Company. Further the number of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attended by the independent directors along with the number of hours spent by such independent director in the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(during the year and on cumulative basis till date) shall also be disclosed by the Company.</w:t>
      </w:r>
    </w:p>
    <w:p w:rsidR="00BB7682" w:rsidRDefault="00BB7682">
      <w:pPr>
        <w:pStyle w:val="BodyText"/>
        <w:rPr>
          <w:rFonts w:ascii="Times New Roman" w:hAnsi="Times New Roman" w:cs="Times New Roman"/>
          <w:sz w:val="20"/>
          <w:szCs w:val="20"/>
        </w:rPr>
      </w:pPr>
    </w:p>
    <w:p w:rsidR="00BB7682" w:rsidRDefault="00A30709">
      <w:pPr>
        <w:pStyle w:val="BodyText"/>
        <w:rPr>
          <w:rFonts w:ascii="Times New Roman" w:hAnsi="Times New Roman" w:cs="Times New Roman"/>
          <w:b/>
          <w:sz w:val="20"/>
          <w:szCs w:val="20"/>
        </w:rPr>
      </w:pPr>
      <w:r>
        <w:rPr>
          <w:rFonts w:ascii="Times New Roman" w:hAnsi="Times New Roman" w:cs="Times New Roman"/>
          <w:b/>
          <w:sz w:val="20"/>
          <w:szCs w:val="20"/>
        </w:rPr>
        <w:t>REVIEW AND AMENDMENT:</w:t>
      </w:r>
    </w:p>
    <w:p w:rsidR="00BB7682" w:rsidRDefault="00BB7682">
      <w:pPr>
        <w:pStyle w:val="BodyText"/>
        <w:rPr>
          <w:rFonts w:ascii="Times New Roman" w:hAnsi="Times New Roman" w:cs="Times New Roman"/>
          <w:sz w:val="20"/>
          <w:szCs w:val="20"/>
        </w:rPr>
      </w:pPr>
    </w:p>
    <w:p w:rsidR="00BB7682" w:rsidRDefault="00A30709">
      <w:pPr>
        <w:pStyle w:val="BodyText"/>
        <w:rPr>
          <w:rFonts w:ascii="Times New Roman" w:hAnsi="Times New Roman" w:cs="Times New Roman"/>
          <w:sz w:val="20"/>
          <w:szCs w:val="20"/>
        </w:rPr>
      </w:pPr>
      <w:r>
        <w:rPr>
          <w:rFonts w:ascii="Times New Roman" w:hAnsi="Times New Roman" w:cs="Times New Roman"/>
          <w:sz w:val="20"/>
          <w:szCs w:val="20"/>
        </w:rPr>
        <w:t xml:space="preserve">The Board of Directors will review the Familiarization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and make necessary amendments as and when required.</w:t>
      </w:r>
    </w:p>
    <w:p w:rsidR="00BB7682" w:rsidRDefault="00BB7682">
      <w:pPr>
        <w:pStyle w:val="BodyText"/>
        <w:rPr>
          <w:rFonts w:ascii="Times New Roman" w:hAnsi="Times New Roman" w:cs="Times New Roman"/>
          <w:sz w:val="20"/>
          <w:szCs w:val="20"/>
        </w:rPr>
      </w:pPr>
    </w:p>
    <w:p w:rsidR="00BB7682" w:rsidRDefault="00BB7682">
      <w:pPr>
        <w:pStyle w:val="BodyText"/>
        <w:rPr>
          <w:rFonts w:ascii="Times New Roman" w:hAnsi="Times New Roman" w:cs="Times New Roman"/>
          <w:sz w:val="20"/>
          <w:szCs w:val="20"/>
        </w:rPr>
      </w:pPr>
    </w:p>
    <w:p w:rsidR="00BB7682" w:rsidRDefault="00A30709">
      <w:pPr>
        <w:pStyle w:val="BodyText"/>
        <w:rPr>
          <w:rFonts w:ascii="Times New Roman" w:hAnsi="Times New Roman" w:cs="Times New Roman"/>
          <w:b/>
          <w:sz w:val="20"/>
          <w:szCs w:val="20"/>
        </w:rPr>
      </w:pPr>
      <w:r>
        <w:rPr>
          <w:rFonts w:ascii="Times New Roman" w:hAnsi="Times New Roman" w:cs="Times New Roman"/>
          <w:b/>
          <w:sz w:val="20"/>
          <w:szCs w:val="20"/>
        </w:rPr>
        <w:t xml:space="preserve">SUMMARY OF FAMILIARIZATION PROGRAMME OF DIRECTORS </w:t>
      </w:r>
    </w:p>
    <w:p w:rsidR="00BB7682" w:rsidRDefault="00BB7682">
      <w:pPr>
        <w:pStyle w:val="BodyText"/>
        <w:rPr>
          <w:rFonts w:ascii="Times New Roman" w:hAnsi="Times New Roman" w:cs="Times New Roman"/>
          <w:b/>
          <w:sz w:val="20"/>
          <w:szCs w:val="20"/>
        </w:rPr>
      </w:pPr>
    </w:p>
    <w:p w:rsidR="00BB7682" w:rsidRDefault="00BB7682">
      <w:pPr>
        <w:pStyle w:val="BodyText"/>
        <w:rPr>
          <w:rFonts w:ascii="Times New Roman" w:hAnsi="Times New Roman" w:cs="Times New Roman"/>
          <w:b/>
          <w:sz w:val="20"/>
          <w:szCs w:val="20"/>
        </w:rPr>
      </w:pPr>
    </w:p>
    <w:tbl>
      <w:tblPr>
        <w:tblStyle w:val="TableGrid"/>
        <w:tblW w:w="0" w:type="auto"/>
        <w:tblLook w:val="04A0"/>
      </w:tblPr>
      <w:tblGrid>
        <w:gridCol w:w="4983"/>
        <w:gridCol w:w="4983"/>
      </w:tblGrid>
      <w:tr w:rsidR="00BB7682">
        <w:tc>
          <w:tcPr>
            <w:tcW w:w="4983" w:type="dxa"/>
          </w:tcPr>
          <w:p w:rsidR="00BB7682" w:rsidRDefault="00A30709" w:rsidP="00093ADC">
            <w:pPr>
              <w:pStyle w:val="BodyText"/>
              <w:rPr>
                <w:rFonts w:ascii="Times New Roman" w:hAnsi="Times New Roman" w:cs="Times New Roman"/>
                <w:sz w:val="20"/>
                <w:szCs w:val="20"/>
              </w:rPr>
            </w:pPr>
            <w:r>
              <w:rPr>
                <w:rFonts w:ascii="Times New Roman" w:hAnsi="Times New Roman" w:cs="Times New Roman"/>
                <w:sz w:val="20"/>
                <w:szCs w:val="20"/>
              </w:rPr>
              <w:t>Total number of hours spent on familiarization in FY2</w:t>
            </w:r>
            <w:r w:rsidR="00093ADC">
              <w:rPr>
                <w:rFonts w:ascii="Times New Roman" w:hAnsi="Times New Roman" w:cs="Times New Roman"/>
                <w:sz w:val="20"/>
                <w:szCs w:val="20"/>
              </w:rPr>
              <w:t>1</w:t>
            </w:r>
          </w:p>
        </w:tc>
        <w:tc>
          <w:tcPr>
            <w:tcW w:w="4983" w:type="dxa"/>
          </w:tcPr>
          <w:p w:rsidR="00BB7682" w:rsidRDefault="00A30709" w:rsidP="00093ADC">
            <w:pPr>
              <w:pStyle w:val="BodyText"/>
              <w:rPr>
                <w:rFonts w:ascii="Times New Roman" w:hAnsi="Times New Roman" w:cs="Times New Roman"/>
                <w:sz w:val="20"/>
                <w:szCs w:val="20"/>
              </w:rPr>
            </w:pPr>
            <w:r>
              <w:rPr>
                <w:rFonts w:ascii="Times New Roman" w:hAnsi="Times New Roman" w:cs="Times New Roman"/>
                <w:sz w:val="20"/>
                <w:szCs w:val="20"/>
              </w:rPr>
              <w:t>Approx. 1</w:t>
            </w:r>
            <w:r w:rsidR="00093ADC">
              <w:rPr>
                <w:rFonts w:ascii="Times New Roman" w:hAnsi="Times New Roman" w:cs="Times New Roman"/>
                <w:sz w:val="20"/>
                <w:szCs w:val="20"/>
              </w:rPr>
              <w:t>2</w:t>
            </w:r>
            <w:r>
              <w:rPr>
                <w:rFonts w:ascii="Times New Roman" w:hAnsi="Times New Roman" w:cs="Times New Roman"/>
                <w:sz w:val="20"/>
                <w:szCs w:val="20"/>
              </w:rPr>
              <w:t xml:space="preserve"> hours (including specific items at Board meetings)</w:t>
            </w:r>
          </w:p>
        </w:tc>
      </w:tr>
      <w:tr w:rsidR="00BB7682">
        <w:tc>
          <w:tcPr>
            <w:tcW w:w="4983" w:type="dxa"/>
          </w:tcPr>
          <w:p w:rsidR="00BB7682" w:rsidRDefault="00A30709">
            <w:pPr>
              <w:pStyle w:val="BodyText"/>
              <w:rPr>
                <w:rFonts w:ascii="Times New Roman" w:hAnsi="Times New Roman" w:cs="Times New Roman"/>
                <w:sz w:val="20"/>
                <w:szCs w:val="20"/>
              </w:rPr>
            </w:pPr>
            <w:r>
              <w:rPr>
                <w:rFonts w:ascii="Times New Roman" w:hAnsi="Times New Roman" w:cs="Times New Roman"/>
                <w:sz w:val="20"/>
                <w:szCs w:val="20"/>
              </w:rPr>
              <w:t>Cumulative hours spent on familiarization till date</w:t>
            </w:r>
            <w:bookmarkStart w:id="0" w:name="_GoBack"/>
            <w:bookmarkEnd w:id="0"/>
            <w:r>
              <w:rPr>
                <w:rFonts w:ascii="Times New Roman" w:hAnsi="Times New Roman" w:cs="Times New Roman"/>
                <w:sz w:val="20"/>
                <w:szCs w:val="20"/>
              </w:rPr>
              <w:t xml:space="preserve"> (from 1st April 2015)</w:t>
            </w:r>
          </w:p>
        </w:tc>
        <w:tc>
          <w:tcPr>
            <w:tcW w:w="4983" w:type="dxa"/>
          </w:tcPr>
          <w:p w:rsidR="00BB7682" w:rsidRDefault="00BB7682">
            <w:pPr>
              <w:pStyle w:val="BodyText"/>
              <w:rPr>
                <w:rFonts w:ascii="Times New Roman" w:hAnsi="Times New Roman" w:cs="Times New Roman"/>
                <w:sz w:val="20"/>
                <w:szCs w:val="20"/>
              </w:rPr>
            </w:pPr>
          </w:p>
          <w:p w:rsidR="00BB7682" w:rsidRDefault="00A30709" w:rsidP="00093ADC">
            <w:pPr>
              <w:pStyle w:val="BodyText"/>
              <w:rPr>
                <w:rFonts w:ascii="Times New Roman" w:hAnsi="Times New Roman" w:cs="Times New Roman"/>
                <w:sz w:val="20"/>
                <w:szCs w:val="20"/>
              </w:rPr>
            </w:pPr>
            <w:r>
              <w:rPr>
                <w:rFonts w:ascii="Times New Roman" w:hAnsi="Times New Roman" w:cs="Times New Roman"/>
                <w:sz w:val="20"/>
                <w:szCs w:val="20"/>
              </w:rPr>
              <w:t>Approx.</w:t>
            </w:r>
            <w:r w:rsidR="00093ADC">
              <w:rPr>
                <w:rFonts w:ascii="Times New Roman" w:hAnsi="Times New Roman" w:cs="Times New Roman"/>
                <w:sz w:val="20"/>
                <w:szCs w:val="20"/>
              </w:rPr>
              <w:t>92</w:t>
            </w:r>
            <w:r>
              <w:rPr>
                <w:rFonts w:ascii="Times New Roman" w:hAnsi="Times New Roman" w:cs="Times New Roman"/>
                <w:sz w:val="20"/>
                <w:szCs w:val="20"/>
              </w:rPr>
              <w:t xml:space="preserve"> hours</w:t>
            </w:r>
          </w:p>
        </w:tc>
      </w:tr>
    </w:tbl>
    <w:p w:rsidR="00BB7682" w:rsidRDefault="00BB7682">
      <w:pPr>
        <w:pStyle w:val="BodyText"/>
        <w:rPr>
          <w:rFonts w:ascii="Times New Roman" w:hAnsi="Times New Roman" w:cs="Times New Roman"/>
          <w:b/>
          <w:sz w:val="20"/>
          <w:szCs w:val="20"/>
        </w:rPr>
      </w:pPr>
    </w:p>
    <w:p w:rsidR="00BB7682" w:rsidRDefault="00A30709">
      <w:pPr>
        <w:pStyle w:val="BodyText"/>
        <w:ind w:left="3289" w:right="3725"/>
        <w:jc w:val="center"/>
        <w:rPr>
          <w:rFonts w:ascii="Times New Roman" w:hAnsi="Times New Roman" w:cs="Times New Roman"/>
          <w:sz w:val="20"/>
          <w:szCs w:val="20"/>
        </w:rPr>
      </w:pPr>
      <w:r>
        <w:rPr>
          <w:rFonts w:ascii="Times New Roman" w:hAnsi="Times New Roman" w:cs="Times New Roman"/>
          <w:sz w:val="20"/>
          <w:szCs w:val="20"/>
        </w:rPr>
        <w:t>-----------------</w:t>
      </w:r>
    </w:p>
    <w:sectPr w:rsidR="00BB7682" w:rsidSect="00BB7682">
      <w:headerReference w:type="default" r:id="rId8"/>
      <w:footerReference w:type="default" r:id="rId9"/>
      <w:pgSz w:w="11910" w:h="16840"/>
      <w:pgMar w:top="1440" w:right="1080" w:bottom="1440" w:left="1080" w:header="144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8B" w:rsidRDefault="00010E8B" w:rsidP="00BB7682">
      <w:r>
        <w:separator/>
      </w:r>
    </w:p>
  </w:endnote>
  <w:endnote w:type="continuationSeparator" w:id="0">
    <w:p w:rsidR="00010E8B" w:rsidRDefault="00010E8B" w:rsidP="00BB7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897397"/>
      <w:docPartObj>
        <w:docPartGallery w:val="AutoText"/>
      </w:docPartObj>
    </w:sdtPr>
    <w:sdtContent>
      <w:sdt>
        <w:sdtPr>
          <w:id w:val="1728636285"/>
          <w:docPartObj>
            <w:docPartGallery w:val="AutoText"/>
          </w:docPartObj>
        </w:sdtPr>
        <w:sdtContent>
          <w:p w:rsidR="00BB7682" w:rsidRDefault="00A30709">
            <w:pPr>
              <w:pStyle w:val="Footer"/>
              <w:jc w:val="center"/>
            </w:pPr>
            <w:r>
              <w:rPr>
                <w:rFonts w:ascii="Times New Roman" w:hAnsi="Times New Roman" w:cs="Times New Roman"/>
                <w:sz w:val="20"/>
                <w:szCs w:val="20"/>
              </w:rPr>
              <w:t xml:space="preserve">Page </w:t>
            </w:r>
            <w:r w:rsidR="00131C32">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PAGE </w:instrText>
            </w:r>
            <w:r w:rsidR="00131C32">
              <w:rPr>
                <w:rFonts w:ascii="Times New Roman" w:hAnsi="Times New Roman" w:cs="Times New Roman"/>
                <w:b/>
                <w:bCs/>
                <w:sz w:val="20"/>
                <w:szCs w:val="20"/>
              </w:rPr>
              <w:fldChar w:fldCharType="separate"/>
            </w:r>
            <w:r w:rsidR="00093ADC">
              <w:rPr>
                <w:rFonts w:ascii="Times New Roman" w:hAnsi="Times New Roman" w:cs="Times New Roman"/>
                <w:b/>
                <w:bCs/>
                <w:noProof/>
                <w:sz w:val="20"/>
                <w:szCs w:val="20"/>
              </w:rPr>
              <w:t>1</w:t>
            </w:r>
            <w:r w:rsidR="00131C32">
              <w:rPr>
                <w:rFonts w:ascii="Times New Roman" w:hAnsi="Times New Roman" w:cs="Times New Roman"/>
                <w:b/>
                <w:bCs/>
                <w:sz w:val="20"/>
                <w:szCs w:val="20"/>
              </w:rPr>
              <w:fldChar w:fldCharType="end"/>
            </w:r>
            <w:r>
              <w:rPr>
                <w:rFonts w:ascii="Times New Roman" w:hAnsi="Times New Roman" w:cs="Times New Roman"/>
                <w:sz w:val="20"/>
                <w:szCs w:val="20"/>
              </w:rPr>
              <w:t xml:space="preserve"> of </w:t>
            </w:r>
            <w:r w:rsidR="00131C32">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NUMPAGES  </w:instrText>
            </w:r>
            <w:r w:rsidR="00131C32">
              <w:rPr>
                <w:rFonts w:ascii="Times New Roman" w:hAnsi="Times New Roman" w:cs="Times New Roman"/>
                <w:b/>
                <w:bCs/>
                <w:sz w:val="20"/>
                <w:szCs w:val="20"/>
              </w:rPr>
              <w:fldChar w:fldCharType="separate"/>
            </w:r>
            <w:r w:rsidR="00093ADC">
              <w:rPr>
                <w:rFonts w:ascii="Times New Roman" w:hAnsi="Times New Roman" w:cs="Times New Roman"/>
                <w:b/>
                <w:bCs/>
                <w:noProof/>
                <w:sz w:val="20"/>
                <w:szCs w:val="20"/>
              </w:rPr>
              <w:t>2</w:t>
            </w:r>
            <w:r w:rsidR="00131C32">
              <w:rPr>
                <w:rFonts w:ascii="Times New Roman" w:hAnsi="Times New Roman" w:cs="Times New Roman"/>
                <w:b/>
                <w:bCs/>
                <w:sz w:val="20"/>
                <w:szCs w:val="20"/>
              </w:rPr>
              <w:fldChar w:fldCharType="end"/>
            </w:r>
          </w:p>
        </w:sdtContent>
      </w:sdt>
    </w:sdtContent>
  </w:sdt>
  <w:p w:rsidR="00BB7682" w:rsidRDefault="00BB7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8B" w:rsidRDefault="00010E8B" w:rsidP="00BB7682">
      <w:r>
        <w:separator/>
      </w:r>
    </w:p>
  </w:footnote>
  <w:footnote w:type="continuationSeparator" w:id="0">
    <w:p w:rsidR="00010E8B" w:rsidRDefault="00010E8B" w:rsidP="00BB7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82" w:rsidRDefault="00131C32">
    <w:pPr>
      <w:pStyle w:val="BodyText"/>
      <w:spacing w:line="14" w:lineRule="auto"/>
      <w:rPr>
        <w:sz w:val="20"/>
      </w:rPr>
    </w:pPr>
    <w:r w:rsidRPr="00131C32">
      <w:rPr>
        <w:lang w:val="en-IN" w:eastAsia="en-IN"/>
      </w:rPr>
      <w:pict>
        <v:shapetype id="_x0000_t202" coordsize="21600,21600" o:spt="202" path="m,l,21600r21600,l21600,xe">
          <v:stroke joinstyle="miter"/>
          <v:path gradientshapeok="t" o:connecttype="rect"/>
        </v:shapetype>
        <v:shape id="_x0000_s1026" type="#_x0000_t202" style="position:absolute;margin-left:71pt;margin-top:71pt;width:273.2pt;height:20.75pt;z-index:-251658752;mso-position-horizontal-relative:page;mso-position-vertical-relative:page" o:gfxdata="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Dv4l1wAAAAsBAAAPAAAAAAAAAAEAIAAAACIAAABkcnMvZG93bnJldi54&#10;bWxQSwECFAAUAAAACACHTuJAwv5tefsBAAAEBAAADgAAAAAAAAABACAAAAAmAQAAZHJzL2Uyb0Rv&#10;Yy54bWxQSwUGAAAAAAYABgBZAQAAkwUAAAAA&#10;" filled="f" stroked="f">
          <v:textbox inset="0,0,0,0">
            <w:txbxContent>
              <w:p w:rsidR="00BB7682" w:rsidRDefault="00BB7682">
                <w:pPr>
                  <w:pStyle w:val="BodyText"/>
                  <w:spacing w:before="19"/>
                  <w:ind w:left="20"/>
                  <w:rPr>
                    <w:b/>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F43"/>
    <w:multiLevelType w:val="multilevel"/>
    <w:tmpl w:val="06EF3F4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B85E8F"/>
    <w:multiLevelType w:val="multilevel"/>
    <w:tmpl w:val="07B85E8F"/>
    <w:lvl w:ilvl="0">
      <w:start w:val="1"/>
      <w:numFmt w:val="decimal"/>
      <w:lvlText w:val="%1."/>
      <w:lvlJc w:val="left"/>
      <w:pPr>
        <w:ind w:left="640" w:hanging="360"/>
      </w:pPr>
      <w:rPr>
        <w:rFonts w:hint="default"/>
        <w:w w:val="99"/>
        <w:sz w:val="20"/>
        <w:szCs w:val="20"/>
      </w:rPr>
    </w:lvl>
    <w:lvl w:ilvl="1">
      <w:numFmt w:val="bullet"/>
      <w:lvlText w:val="•"/>
      <w:lvlJc w:val="left"/>
      <w:pPr>
        <w:ind w:left="1498" w:hanging="360"/>
      </w:pPr>
      <w:rPr>
        <w:rFonts w:hint="default"/>
      </w:rPr>
    </w:lvl>
    <w:lvl w:ilvl="2">
      <w:numFmt w:val="bullet"/>
      <w:lvlText w:val="•"/>
      <w:lvlJc w:val="left"/>
      <w:pPr>
        <w:ind w:left="2357" w:hanging="360"/>
      </w:pPr>
      <w:rPr>
        <w:rFonts w:hint="default"/>
      </w:rPr>
    </w:lvl>
    <w:lvl w:ilvl="3">
      <w:numFmt w:val="bullet"/>
      <w:lvlText w:val="•"/>
      <w:lvlJc w:val="left"/>
      <w:pPr>
        <w:ind w:left="3215" w:hanging="360"/>
      </w:pPr>
      <w:rPr>
        <w:rFonts w:hint="default"/>
      </w:rPr>
    </w:lvl>
    <w:lvl w:ilvl="4">
      <w:numFmt w:val="bullet"/>
      <w:lvlText w:val="•"/>
      <w:lvlJc w:val="left"/>
      <w:pPr>
        <w:ind w:left="4074" w:hanging="360"/>
      </w:pPr>
      <w:rPr>
        <w:rFonts w:hint="default"/>
      </w:rPr>
    </w:lvl>
    <w:lvl w:ilvl="5">
      <w:numFmt w:val="bullet"/>
      <w:lvlText w:val="•"/>
      <w:lvlJc w:val="left"/>
      <w:pPr>
        <w:ind w:left="4933" w:hanging="360"/>
      </w:pPr>
      <w:rPr>
        <w:rFonts w:hint="default"/>
      </w:rPr>
    </w:lvl>
    <w:lvl w:ilvl="6">
      <w:numFmt w:val="bullet"/>
      <w:lvlText w:val="•"/>
      <w:lvlJc w:val="left"/>
      <w:pPr>
        <w:ind w:left="5791" w:hanging="360"/>
      </w:pPr>
      <w:rPr>
        <w:rFonts w:hint="default"/>
      </w:rPr>
    </w:lvl>
    <w:lvl w:ilvl="7">
      <w:numFmt w:val="bullet"/>
      <w:lvlText w:val="•"/>
      <w:lvlJc w:val="left"/>
      <w:pPr>
        <w:ind w:left="6650" w:hanging="360"/>
      </w:pPr>
      <w:rPr>
        <w:rFonts w:hint="default"/>
      </w:rPr>
    </w:lvl>
    <w:lvl w:ilvl="8">
      <w:numFmt w:val="bullet"/>
      <w:lvlText w:val="•"/>
      <w:lvlJc w:val="left"/>
      <w:pPr>
        <w:ind w:left="7509" w:hanging="360"/>
      </w:pPr>
      <w:rPr>
        <w:rFonts w:hint="default"/>
      </w:rPr>
    </w:lvl>
  </w:abstractNum>
  <w:abstractNum w:abstractNumId="2">
    <w:nsid w:val="30224A40"/>
    <w:multiLevelType w:val="multilevel"/>
    <w:tmpl w:val="30224A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1817E8"/>
    <w:multiLevelType w:val="multilevel"/>
    <w:tmpl w:val="4B1817E8"/>
    <w:lvl w:ilvl="0">
      <w:start w:val="1"/>
      <w:numFmt w:val="decimal"/>
      <w:lvlText w:val="%1."/>
      <w:lvlJc w:val="left"/>
      <w:pPr>
        <w:ind w:left="640" w:hanging="360"/>
      </w:pPr>
      <w:rPr>
        <w:rFonts w:ascii="Times New Roman" w:eastAsia="Bookman Old Style" w:hAnsi="Times New Roman" w:cs="Times New Roman" w:hint="default"/>
        <w:spacing w:val="-2"/>
        <w:w w:val="99"/>
        <w:sz w:val="20"/>
        <w:szCs w:val="20"/>
      </w:rPr>
    </w:lvl>
    <w:lvl w:ilvl="1">
      <w:numFmt w:val="bullet"/>
      <w:lvlText w:val="•"/>
      <w:lvlJc w:val="left"/>
      <w:pPr>
        <w:ind w:left="1500" w:hanging="360"/>
      </w:pPr>
      <w:rPr>
        <w:rFonts w:hint="default"/>
      </w:rPr>
    </w:lvl>
    <w:lvl w:ilvl="2">
      <w:numFmt w:val="bullet"/>
      <w:lvlText w:val="•"/>
      <w:lvlJc w:val="left"/>
      <w:pPr>
        <w:ind w:left="2361" w:hanging="360"/>
      </w:pPr>
      <w:rPr>
        <w:rFonts w:hint="default"/>
      </w:rPr>
    </w:lvl>
    <w:lvl w:ilvl="3">
      <w:numFmt w:val="bullet"/>
      <w:lvlText w:val="•"/>
      <w:lvlJc w:val="left"/>
      <w:pPr>
        <w:ind w:left="3221" w:hanging="360"/>
      </w:pPr>
      <w:rPr>
        <w:rFonts w:hint="default"/>
      </w:rPr>
    </w:lvl>
    <w:lvl w:ilvl="4">
      <w:numFmt w:val="bullet"/>
      <w:lvlText w:val="•"/>
      <w:lvlJc w:val="left"/>
      <w:pPr>
        <w:ind w:left="4082" w:hanging="360"/>
      </w:pPr>
      <w:rPr>
        <w:rFonts w:hint="default"/>
      </w:rPr>
    </w:lvl>
    <w:lvl w:ilvl="5">
      <w:numFmt w:val="bullet"/>
      <w:lvlText w:val="•"/>
      <w:lvlJc w:val="left"/>
      <w:pPr>
        <w:ind w:left="4943" w:hanging="360"/>
      </w:pPr>
      <w:rPr>
        <w:rFonts w:hint="default"/>
      </w:rPr>
    </w:lvl>
    <w:lvl w:ilvl="6">
      <w:numFmt w:val="bullet"/>
      <w:lvlText w:val="•"/>
      <w:lvlJc w:val="left"/>
      <w:pPr>
        <w:ind w:left="5803" w:hanging="360"/>
      </w:pPr>
      <w:rPr>
        <w:rFonts w:hint="default"/>
      </w:rPr>
    </w:lvl>
    <w:lvl w:ilvl="7">
      <w:numFmt w:val="bullet"/>
      <w:lvlText w:val="•"/>
      <w:lvlJc w:val="left"/>
      <w:pPr>
        <w:ind w:left="6664" w:hanging="360"/>
      </w:pPr>
      <w:rPr>
        <w:rFonts w:hint="default"/>
      </w:rPr>
    </w:lvl>
    <w:lvl w:ilvl="8">
      <w:numFmt w:val="bullet"/>
      <w:lvlText w:val="•"/>
      <w:lvlJc w:val="left"/>
      <w:pPr>
        <w:ind w:left="7525"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noPunctuationKerning/>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
  <w:rsids>
    <w:rsidRoot w:val="00672AC4"/>
    <w:rsid w:val="00010E8B"/>
    <w:rsid w:val="00077C98"/>
    <w:rsid w:val="00093ADC"/>
    <w:rsid w:val="000A2D00"/>
    <w:rsid w:val="001023CE"/>
    <w:rsid w:val="00131C32"/>
    <w:rsid w:val="00133A2B"/>
    <w:rsid w:val="00197C04"/>
    <w:rsid w:val="001A2F59"/>
    <w:rsid w:val="001A3C6A"/>
    <w:rsid w:val="001F6CD7"/>
    <w:rsid w:val="002D28CD"/>
    <w:rsid w:val="00315C00"/>
    <w:rsid w:val="00323B02"/>
    <w:rsid w:val="00381AEE"/>
    <w:rsid w:val="00466CEF"/>
    <w:rsid w:val="004A2A64"/>
    <w:rsid w:val="004B1891"/>
    <w:rsid w:val="004D2025"/>
    <w:rsid w:val="0052627F"/>
    <w:rsid w:val="00544509"/>
    <w:rsid w:val="005B7A89"/>
    <w:rsid w:val="005E0C9B"/>
    <w:rsid w:val="0061249E"/>
    <w:rsid w:val="00664823"/>
    <w:rsid w:val="00672AC4"/>
    <w:rsid w:val="006E063C"/>
    <w:rsid w:val="007736E6"/>
    <w:rsid w:val="007A5079"/>
    <w:rsid w:val="007E5529"/>
    <w:rsid w:val="007E6D02"/>
    <w:rsid w:val="007F77C9"/>
    <w:rsid w:val="00802BB7"/>
    <w:rsid w:val="008039ED"/>
    <w:rsid w:val="0081619D"/>
    <w:rsid w:val="00831ABF"/>
    <w:rsid w:val="00860EB2"/>
    <w:rsid w:val="00944228"/>
    <w:rsid w:val="00946711"/>
    <w:rsid w:val="00A25B5B"/>
    <w:rsid w:val="00A30709"/>
    <w:rsid w:val="00A57602"/>
    <w:rsid w:val="00A6562E"/>
    <w:rsid w:val="00AB63E4"/>
    <w:rsid w:val="00AF2149"/>
    <w:rsid w:val="00B27F7D"/>
    <w:rsid w:val="00B66F8D"/>
    <w:rsid w:val="00BB7682"/>
    <w:rsid w:val="00BB7852"/>
    <w:rsid w:val="00C14522"/>
    <w:rsid w:val="00C14D3B"/>
    <w:rsid w:val="00C27901"/>
    <w:rsid w:val="00C61C5C"/>
    <w:rsid w:val="00DE18D0"/>
    <w:rsid w:val="00E57CAE"/>
    <w:rsid w:val="00EC483A"/>
    <w:rsid w:val="00EE31BF"/>
    <w:rsid w:val="00EF64B7"/>
    <w:rsid w:val="00F25463"/>
    <w:rsid w:val="00F47D67"/>
    <w:rsid w:val="00F50F2D"/>
    <w:rsid w:val="00FA2EC4"/>
    <w:rsid w:val="00FF1E0C"/>
    <w:rsid w:val="298362A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7682"/>
    <w:pPr>
      <w:widowControl w:val="0"/>
      <w:autoSpaceDE w:val="0"/>
      <w:autoSpaceDN w:val="0"/>
    </w:pPr>
    <w:rPr>
      <w:rFonts w:ascii="Bookman Old Style" w:eastAsia="Bookman Old Style" w:hAnsi="Bookman Old Style" w:cs="Bookman Old Style"/>
      <w:sz w:val="22"/>
      <w:szCs w:val="22"/>
      <w:lang w:bidi="ar-SA"/>
    </w:rPr>
  </w:style>
  <w:style w:type="paragraph" w:styleId="Heading1">
    <w:name w:val="heading 1"/>
    <w:basedOn w:val="Normal"/>
    <w:next w:val="Normal"/>
    <w:uiPriority w:val="1"/>
    <w:qFormat/>
    <w:rsid w:val="00BB7682"/>
    <w:pPr>
      <w:spacing w:before="61"/>
      <w:ind w:left="593" w:right="593"/>
      <w:jc w:val="center"/>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7682"/>
    <w:rPr>
      <w:rFonts w:ascii="Tahoma" w:hAnsi="Tahoma" w:cs="Tahoma"/>
      <w:sz w:val="16"/>
      <w:szCs w:val="16"/>
    </w:rPr>
  </w:style>
  <w:style w:type="paragraph" w:styleId="BodyText">
    <w:name w:val="Body Text"/>
    <w:basedOn w:val="Normal"/>
    <w:uiPriority w:val="1"/>
    <w:qFormat/>
    <w:rsid w:val="00BB7682"/>
    <w:rPr>
      <w:sz w:val="32"/>
      <w:szCs w:val="32"/>
    </w:rPr>
  </w:style>
  <w:style w:type="character" w:styleId="CommentReference">
    <w:name w:val="annotation reference"/>
    <w:basedOn w:val="DefaultParagraphFont"/>
    <w:uiPriority w:val="99"/>
    <w:semiHidden/>
    <w:unhideWhenUsed/>
    <w:rsid w:val="00BB7682"/>
    <w:rPr>
      <w:sz w:val="16"/>
      <w:szCs w:val="16"/>
    </w:rPr>
  </w:style>
  <w:style w:type="paragraph" w:styleId="CommentText">
    <w:name w:val="annotation text"/>
    <w:basedOn w:val="Normal"/>
    <w:link w:val="CommentTextChar"/>
    <w:uiPriority w:val="99"/>
    <w:semiHidden/>
    <w:unhideWhenUsed/>
    <w:qFormat/>
    <w:rsid w:val="00BB7682"/>
    <w:rPr>
      <w:sz w:val="20"/>
      <w:szCs w:val="20"/>
    </w:rPr>
  </w:style>
  <w:style w:type="paragraph" w:styleId="CommentSubject">
    <w:name w:val="annotation subject"/>
    <w:basedOn w:val="CommentText"/>
    <w:next w:val="CommentText"/>
    <w:link w:val="CommentSubjectChar"/>
    <w:uiPriority w:val="99"/>
    <w:semiHidden/>
    <w:unhideWhenUsed/>
    <w:qFormat/>
    <w:rsid w:val="00BB7682"/>
    <w:rPr>
      <w:b/>
      <w:bCs/>
    </w:rPr>
  </w:style>
  <w:style w:type="paragraph" w:styleId="Footer">
    <w:name w:val="footer"/>
    <w:basedOn w:val="Normal"/>
    <w:link w:val="FooterChar"/>
    <w:uiPriority w:val="99"/>
    <w:unhideWhenUsed/>
    <w:qFormat/>
    <w:rsid w:val="00BB7682"/>
    <w:pPr>
      <w:tabs>
        <w:tab w:val="center" w:pos="4680"/>
        <w:tab w:val="right" w:pos="9360"/>
      </w:tabs>
    </w:pPr>
  </w:style>
  <w:style w:type="paragraph" w:styleId="Header">
    <w:name w:val="header"/>
    <w:basedOn w:val="Normal"/>
    <w:link w:val="HeaderChar"/>
    <w:uiPriority w:val="99"/>
    <w:unhideWhenUsed/>
    <w:qFormat/>
    <w:rsid w:val="00BB7682"/>
    <w:pPr>
      <w:tabs>
        <w:tab w:val="center" w:pos="4680"/>
        <w:tab w:val="right" w:pos="9360"/>
      </w:tabs>
    </w:pPr>
  </w:style>
  <w:style w:type="table" w:styleId="TableGrid">
    <w:name w:val="Table Grid"/>
    <w:basedOn w:val="TableNormal"/>
    <w:uiPriority w:val="39"/>
    <w:rsid w:val="00BB76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B7682"/>
    <w:pPr>
      <w:ind w:left="640" w:hanging="360"/>
      <w:jc w:val="both"/>
    </w:pPr>
  </w:style>
  <w:style w:type="paragraph" w:customStyle="1" w:styleId="TableParagraph">
    <w:name w:val="Table Paragraph"/>
    <w:basedOn w:val="Normal"/>
    <w:uiPriority w:val="1"/>
    <w:qFormat/>
    <w:rsid w:val="00BB7682"/>
  </w:style>
  <w:style w:type="character" w:customStyle="1" w:styleId="HeaderChar">
    <w:name w:val="Header Char"/>
    <w:basedOn w:val="DefaultParagraphFont"/>
    <w:link w:val="Header"/>
    <w:uiPriority w:val="99"/>
    <w:qFormat/>
    <w:rsid w:val="00BB7682"/>
    <w:rPr>
      <w:rFonts w:ascii="Bookman Old Style" w:eastAsia="Bookman Old Style" w:hAnsi="Bookman Old Style" w:cs="Bookman Old Style"/>
    </w:rPr>
  </w:style>
  <w:style w:type="character" w:customStyle="1" w:styleId="FooterChar">
    <w:name w:val="Footer Char"/>
    <w:basedOn w:val="DefaultParagraphFont"/>
    <w:link w:val="Footer"/>
    <w:uiPriority w:val="99"/>
    <w:qFormat/>
    <w:rsid w:val="00BB7682"/>
    <w:rPr>
      <w:rFonts w:ascii="Bookman Old Style" w:eastAsia="Bookman Old Style" w:hAnsi="Bookman Old Style" w:cs="Bookman Old Style"/>
    </w:rPr>
  </w:style>
  <w:style w:type="character" w:customStyle="1" w:styleId="BalloonTextChar">
    <w:name w:val="Balloon Text Char"/>
    <w:basedOn w:val="DefaultParagraphFont"/>
    <w:link w:val="BalloonText"/>
    <w:uiPriority w:val="99"/>
    <w:semiHidden/>
    <w:qFormat/>
    <w:rsid w:val="00BB7682"/>
    <w:rPr>
      <w:rFonts w:ascii="Tahoma" w:eastAsia="Bookman Old Style" w:hAnsi="Tahoma" w:cs="Tahoma"/>
      <w:sz w:val="16"/>
      <w:szCs w:val="16"/>
    </w:rPr>
  </w:style>
  <w:style w:type="character" w:customStyle="1" w:styleId="CommentTextChar">
    <w:name w:val="Comment Text Char"/>
    <w:basedOn w:val="DefaultParagraphFont"/>
    <w:link w:val="CommentText"/>
    <w:uiPriority w:val="99"/>
    <w:semiHidden/>
    <w:rsid w:val="00BB7682"/>
    <w:rPr>
      <w:rFonts w:ascii="Bookman Old Style" w:eastAsia="Bookman Old Style" w:hAnsi="Bookman Old Style" w:cs="Bookman Old Style"/>
      <w:sz w:val="20"/>
      <w:szCs w:val="20"/>
    </w:rPr>
  </w:style>
  <w:style w:type="character" w:customStyle="1" w:styleId="CommentSubjectChar">
    <w:name w:val="Comment Subject Char"/>
    <w:basedOn w:val="CommentTextChar"/>
    <w:link w:val="CommentSubject"/>
    <w:uiPriority w:val="99"/>
    <w:semiHidden/>
    <w:qFormat/>
    <w:rsid w:val="00BB7682"/>
    <w:rPr>
      <w:rFonts w:ascii="Bookman Old Style" w:eastAsia="Bookman Old Style" w:hAnsi="Bookman Old Style" w:cs="Bookman Old Style"/>
      <w:b/>
      <w:bCs/>
      <w:sz w:val="20"/>
      <w:szCs w:val="20"/>
    </w:rPr>
  </w:style>
  <w:style w:type="table" w:customStyle="1" w:styleId="TableGrid1">
    <w:name w:val="Table Grid1"/>
    <w:basedOn w:val="TableNormal"/>
    <w:uiPriority w:val="39"/>
    <w:qFormat/>
    <w:rsid w:val="00BB768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3375</Characters>
  <Application>Microsoft Office Word</Application>
  <DocSecurity>0</DocSecurity>
  <Lines>28</Lines>
  <Paragraphs>7</Paragraphs>
  <ScaleCrop>false</ScaleCrop>
  <Company>J Sagar Associates</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Familiarization Programme for Independent Directors</dc:title>
  <dc:creator>admin</dc:creator>
  <cp:lastModifiedBy>user</cp:lastModifiedBy>
  <cp:revision>4</cp:revision>
  <dcterms:created xsi:type="dcterms:W3CDTF">2022-10-15T12:03:00Z</dcterms:created>
  <dcterms:modified xsi:type="dcterms:W3CDTF">2022-10-15T12:09:00Z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Office Word 2007</vt:lpwstr>
  </property>
  <property fmtid="{D5CDD505-2E9C-101B-9397-08002B2CF9AE}" pid="4" name="LastSaved">
    <vt:filetime>2018-07-09T00:00:00Z</vt:filetime>
  </property>
  <property fmtid="{D5CDD505-2E9C-101B-9397-08002B2CF9AE}" pid="5" name="KSOProductBuildVer">
    <vt:lpwstr>1033-11.2.0.11341</vt:lpwstr>
  </property>
  <property fmtid="{D5CDD505-2E9C-101B-9397-08002B2CF9AE}" pid="6" name="ICV">
    <vt:lpwstr>ABC7B25A55DD41EE9CA4BB3A759DC430</vt:lpwstr>
  </property>
</Properties>
</file>